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F18FB">
      <w:pPr>
        <w:spacing w:line="24" w:lineRule="atLeast"/>
        <w:ind w:right="-17"/>
        <w:jc w:val="both"/>
        <w:rPr>
          <w:rFonts w:ascii="Arial" w:hAnsi="Arial" w:cs="Arial"/>
          <w:b/>
        </w:rPr>
      </w:pPr>
      <w:bookmarkStart w:id="0" w:name="_Hlk142658039"/>
    </w:p>
    <w:p w14:paraId="0ACE58C3">
      <w:pPr>
        <w:spacing w:line="24" w:lineRule="atLeast"/>
        <w:ind w:left="426" w:right="-17"/>
        <w:jc w:val="center"/>
        <w:rPr>
          <w:rFonts w:ascii="Arial" w:hAnsi="Arial" w:cs="Arial"/>
          <w:b/>
        </w:rPr>
      </w:pPr>
      <w:r>
        <w:rPr>
          <w:rFonts w:ascii="Arial" w:hAnsi="Arial" w:cs="Arial"/>
          <w:b/>
        </w:rPr>
        <w:t>MINUTA DE TERMO DE CONTRATO</w:t>
      </w:r>
      <w:bookmarkEnd w:id="0"/>
    </w:p>
    <w:p w14:paraId="292FE2D2">
      <w:pPr>
        <w:spacing w:line="24" w:lineRule="atLeast"/>
        <w:ind w:left="426" w:right="-17"/>
        <w:jc w:val="center"/>
        <w:rPr>
          <w:rFonts w:ascii="Arial" w:hAnsi="Arial" w:cs="Arial"/>
          <w:b/>
        </w:rPr>
      </w:pPr>
    </w:p>
    <w:p w14:paraId="2D1D4BB0">
      <w:pPr>
        <w:spacing w:line="24" w:lineRule="atLeast"/>
        <w:ind w:left="4253" w:right="-17"/>
        <w:jc w:val="both"/>
        <w:rPr>
          <w:rFonts w:ascii="Arial" w:hAnsi="Arial" w:cs="Arial"/>
          <w:b/>
        </w:rPr>
      </w:pPr>
    </w:p>
    <w:p w14:paraId="57ED57A8">
      <w:pPr>
        <w:spacing w:line="24" w:lineRule="atLeast"/>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p w14:paraId="4748B520">
      <w:pPr>
        <w:spacing w:line="24" w:lineRule="atLeast"/>
        <w:ind w:left="5103" w:right="-17"/>
        <w:jc w:val="both"/>
        <w:rPr>
          <w:rFonts w:ascii="Arial" w:hAnsi="Arial" w:cs="Arial"/>
          <w:b/>
        </w:rPr>
      </w:pPr>
    </w:p>
    <w:bookmarkEnd w:id="1"/>
    <w:p w14:paraId="4B597872">
      <w:pPr>
        <w:pStyle w:val="13"/>
        <w:spacing w:line="24" w:lineRule="atLeast"/>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16.386/2025</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Concorrência Eletrônica nº </w:t>
      </w:r>
      <w:r>
        <w:rPr>
          <w:rFonts w:hint="default" w:ascii="Arial" w:hAnsi="Arial" w:cs="Arial"/>
          <w:sz w:val="22"/>
          <w:szCs w:val="22"/>
          <w:lang w:val="pt-BR"/>
        </w:rPr>
        <w:t>90.003</w:t>
      </w:r>
      <w:bookmarkStart w:id="7" w:name="_GoBack"/>
      <w:bookmarkEnd w:id="7"/>
      <w:r>
        <w:rPr>
          <w:rFonts w:hint="default" w:ascii="Arial" w:hAnsi="Arial" w:cs="Arial"/>
          <w:sz w:val="22"/>
          <w:szCs w:val="22"/>
          <w:lang w:val="pt-BR"/>
        </w:rPr>
        <w:t>/2026</w:t>
      </w:r>
      <w:r>
        <w:rPr>
          <w:rFonts w:ascii="Arial" w:hAnsi="Arial" w:cs="Arial"/>
          <w:sz w:val="22"/>
          <w:szCs w:val="22"/>
        </w:rPr>
        <w:t>, mediante as cláusulas e condições a seguir enunciadas.</w:t>
      </w:r>
    </w:p>
    <w:p w14:paraId="426E95DD">
      <w:pPr>
        <w:pStyle w:val="19"/>
        <w:numPr>
          <w:ilvl w:val="0"/>
          <w:numId w:val="3"/>
        </w:numPr>
        <w:tabs>
          <w:tab w:val="left" w:pos="284"/>
        </w:tabs>
        <w:spacing w:line="24" w:lineRule="atLeast"/>
        <w:ind w:hanging="502"/>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27782112">
      <w:pPr>
        <w:spacing w:line="24" w:lineRule="atLeast"/>
        <w:jc w:val="both"/>
        <w:rPr>
          <w:rFonts w:ascii="Arial" w:hAnsi="Arial" w:eastAsia="Arial" w:cs="Arial"/>
          <w:b/>
        </w:rPr>
      </w:pPr>
      <w:r>
        <w:rPr>
          <w:rFonts w:ascii="Arial" w:hAnsi="Arial" w:cs="Arial"/>
          <w:bCs/>
          <w:iCs/>
        </w:rPr>
        <w:t xml:space="preserve"> O objeto do presente instrumento é</w:t>
      </w:r>
      <w:r>
        <w:rPr>
          <w:rFonts w:hint="default" w:ascii="Arial" w:hAnsi="Arial" w:cs="Arial"/>
          <w:bCs/>
          <w:iCs/>
          <w:lang w:val="pt-BR"/>
        </w:rPr>
        <w:t xml:space="preserve"> a</w:t>
      </w:r>
      <w:r>
        <w:rPr>
          <w:rFonts w:ascii="Arial" w:hAnsi="Arial" w:eastAsia="Arial" w:cs="Arial"/>
          <w:b/>
        </w:rPr>
        <w:t xml:space="preserve"> </w:t>
      </w:r>
      <w:r>
        <w:rPr>
          <w:rFonts w:ascii="Arial" w:hAnsi="Arial" w:eastAsia="Arial" w:cs="Arial"/>
          <w:b/>
          <w:lang w:val="en-US" w:eastAsia="zh-CN"/>
        </w:rPr>
        <w:t>Contratação de empresa especializada para</w:t>
      </w:r>
      <w:r>
        <w:rPr>
          <w:rFonts w:hint="default" w:ascii="Arial" w:hAnsi="Arial" w:eastAsia="Arial" w:cs="Arial"/>
          <w:b/>
          <w:lang w:val="pt-BR" w:eastAsia="zh-CN"/>
        </w:rPr>
        <w:t xml:space="preserve"> </w:t>
      </w:r>
      <w:r>
        <w:rPr>
          <w:rFonts w:ascii="Arial" w:hAnsi="Arial" w:eastAsia="Arial" w:cs="Arial"/>
          <w:b/>
          <w:lang w:val="en-US" w:eastAsia="zh-CN"/>
        </w:rPr>
        <w:t>Reforma, Reforço Estrutural e Construção de</w:t>
      </w:r>
      <w:r>
        <w:rPr>
          <w:rFonts w:hint="default" w:ascii="Arial" w:hAnsi="Arial" w:eastAsia="Arial" w:cs="Arial"/>
          <w:b/>
          <w:lang w:val="pt-BR" w:eastAsia="zh-CN"/>
        </w:rPr>
        <w:t xml:space="preserve"> </w:t>
      </w:r>
      <w:r>
        <w:rPr>
          <w:rFonts w:ascii="Arial" w:hAnsi="Arial" w:eastAsia="Arial" w:cs="Arial"/>
          <w:b/>
          <w:lang w:val="en-US" w:eastAsia="zh-CN"/>
        </w:rPr>
        <w:t>Quadra Poliesportiva na E.M. Américo Ventura</w:t>
      </w:r>
      <w:r>
        <w:rPr>
          <w:rFonts w:hint="default" w:ascii="Arial" w:hAnsi="Arial" w:eastAsia="Arial" w:cs="Arial"/>
          <w:b/>
          <w:lang w:val="pt-BR" w:eastAsia="zh-CN"/>
        </w:rPr>
        <w:t xml:space="preserve"> </w:t>
      </w:r>
      <w:r>
        <w:rPr>
          <w:rFonts w:ascii="Arial" w:hAnsi="Arial" w:eastAsia="Arial" w:cs="Arial"/>
          <w:b/>
          <w:lang w:val="en-US" w:eastAsia="zh-CN"/>
        </w:rPr>
        <w:t>Filho</w:t>
      </w:r>
      <w:r>
        <w:rPr>
          <w:rFonts w:ascii="Arial" w:hAnsi="Arial" w:cs="Arial"/>
          <w:b/>
        </w:rPr>
        <w:t>.</w:t>
      </w:r>
    </w:p>
    <w:p w14:paraId="46996497">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bCs/>
          <w:iCs/>
        </w:rPr>
        <w:t xml:space="preserve">  nas condições estabelecidas no Termo de Referência</w:t>
      </w:r>
      <w:r>
        <w:rPr>
          <w:rFonts w:ascii="Arial" w:hAnsi="Arial" w:cs="Arial"/>
          <w:bCs/>
          <w:iCs/>
          <w:lang w:val="pt-BR"/>
        </w:rPr>
        <w:t>, anexo do Edital</w:t>
      </w:r>
      <w:r>
        <w:rPr>
          <w:rFonts w:ascii="Arial" w:hAnsi="Arial" w:cs="Arial"/>
          <w:bCs/>
          <w:iCs/>
        </w:rPr>
        <w:t>.</w:t>
      </w:r>
    </w:p>
    <w:p w14:paraId="05B4BF6A">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iCs/>
        </w:rPr>
        <w:t>Vinculam esta contratação, independentemente de transcrição:</w:t>
      </w:r>
    </w:p>
    <w:p w14:paraId="021FEEB9">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Termo de Referência;</w:t>
      </w:r>
    </w:p>
    <w:p w14:paraId="1E15DEF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Edital da Licitação</w:t>
      </w:r>
      <w:r>
        <w:rPr>
          <w:rFonts w:ascii="Arial" w:hAnsi="Arial" w:cs="Arial"/>
          <w:bCs/>
          <w:lang w:val="pt-BR"/>
        </w:rPr>
        <w:t xml:space="preserve"> e todos os seus anexos</w:t>
      </w:r>
      <w:r>
        <w:rPr>
          <w:rFonts w:ascii="Arial" w:hAnsi="Arial" w:cs="Arial"/>
          <w:bCs/>
        </w:rPr>
        <w:t>;</w:t>
      </w:r>
    </w:p>
    <w:p w14:paraId="48166BB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A Proposta do contratado;</w:t>
      </w:r>
    </w:p>
    <w:p w14:paraId="1F2F23C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Eventuais anexos dos documentos supracitados.</w:t>
      </w:r>
    </w:p>
    <w:p w14:paraId="6E7B2F2D">
      <w:pPr>
        <w:pStyle w:val="19"/>
        <w:widowControl/>
        <w:tabs>
          <w:tab w:val="left" w:pos="426"/>
        </w:tabs>
        <w:autoSpaceDE/>
        <w:autoSpaceDN/>
        <w:spacing w:before="120" w:after="120" w:line="24" w:lineRule="atLeast"/>
        <w:ind w:left="862"/>
        <w:jc w:val="both"/>
        <w:rPr>
          <w:rFonts w:ascii="Arial" w:hAnsi="Arial" w:cs="Arial"/>
          <w:bCs/>
        </w:rPr>
      </w:pPr>
    </w:p>
    <w:p w14:paraId="06CDB48E">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C9471F2">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cs="Arial"/>
          <w:bCs/>
          <w:iCs/>
        </w:rPr>
        <w:t xml:space="preserve"> </w:t>
      </w:r>
      <w:r>
        <w:rPr>
          <w:rFonts w:ascii="Arial" w:hAnsi="Arial" w:eastAsia="Arial" w:cs="Arial"/>
          <w:color w:val="000000"/>
        </w:rPr>
        <w:t xml:space="preserve">O prazo de execução é de </w:t>
      </w:r>
      <w:r>
        <w:rPr>
          <w:rFonts w:hint="default" w:ascii="Arial" w:hAnsi="Arial" w:eastAsia="Arial" w:cs="Arial"/>
          <w:color w:val="000000"/>
          <w:highlight w:val="none"/>
          <w:lang w:val="pt-BR"/>
        </w:rPr>
        <w:t>180</w:t>
      </w:r>
      <w:r>
        <w:rPr>
          <w:rFonts w:ascii="Arial" w:hAnsi="Arial" w:eastAsia="Arial" w:cs="Arial"/>
          <w:color w:val="000000"/>
          <w:highlight w:val="none"/>
        </w:rPr>
        <w:t xml:space="preserve"> (</w:t>
      </w:r>
      <w:r>
        <w:rPr>
          <w:rFonts w:hint="default" w:ascii="Arial" w:hAnsi="Arial" w:eastAsia="Arial" w:cs="Arial"/>
          <w:color w:val="000000"/>
          <w:highlight w:val="none"/>
          <w:lang w:val="pt-BR"/>
        </w:rPr>
        <w:t>cento e oitenta</w:t>
      </w:r>
      <w:r>
        <w:rPr>
          <w:rFonts w:ascii="Arial" w:hAnsi="Arial" w:eastAsia="Arial" w:cs="Arial"/>
          <w:color w:val="000000"/>
          <w:highlight w:val="none"/>
        </w:rPr>
        <w:t xml:space="preserve">) </w:t>
      </w:r>
      <w:r>
        <w:rPr>
          <w:rFonts w:ascii="Arial" w:hAnsi="Arial" w:eastAsia="Arial" w:cs="Arial"/>
          <w:color w:val="000000"/>
        </w:rPr>
        <w:t>dias, conforme cronograma físico-financeiro.</w:t>
      </w:r>
    </w:p>
    <w:p w14:paraId="05E419E6">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eastAsia="Arial" w:cs="Arial"/>
          <w:color w:val="000000"/>
        </w:rPr>
        <w:t xml:space="preserve">O prazo de vigência da contratação é de </w:t>
      </w:r>
      <w:r>
        <w:rPr>
          <w:rFonts w:hint="default" w:ascii="Arial" w:hAnsi="Arial" w:eastAsia="Arial" w:cs="Arial"/>
          <w:color w:val="000000"/>
          <w:lang w:val="pt-BR"/>
        </w:rPr>
        <w:t>270</w:t>
      </w:r>
      <w:r>
        <w:rPr>
          <w:rFonts w:ascii="Arial" w:hAnsi="Arial" w:eastAsia="Arial" w:cs="Arial"/>
          <w:color w:val="000000"/>
          <w:highlight w:val="none"/>
        </w:rPr>
        <w:t xml:space="preserve"> (</w:t>
      </w:r>
      <w:r>
        <w:rPr>
          <w:rFonts w:hint="default" w:ascii="Arial" w:hAnsi="Arial" w:eastAsia="Arial" w:cs="Arial"/>
          <w:color w:val="000000"/>
          <w:highlight w:val="none"/>
          <w:lang w:val="pt-BR"/>
        </w:rPr>
        <w:t>duzentos e setenta</w:t>
      </w:r>
      <w:r>
        <w:rPr>
          <w:rFonts w:ascii="Arial" w:hAnsi="Arial" w:eastAsia="Arial" w:cs="Arial"/>
          <w:color w:val="000000"/>
          <w:highlight w:val="none"/>
        </w:rPr>
        <w:t>)</w:t>
      </w:r>
      <w:r>
        <w:rPr>
          <w:rFonts w:ascii="Arial" w:hAnsi="Arial" w:eastAsia="Arial" w:cs="Arial"/>
          <w:color w:val="000000"/>
        </w:rPr>
        <w:t xml:space="preserve"> dias, contado da ordem de início dos serviços, na forma do </w:t>
      </w:r>
      <w:r>
        <w:fldChar w:fldCharType="begin"/>
      </w:r>
      <w:r>
        <w:instrText xml:space="preserve"> HYPERLINK "http://www.planalto.gov.br/ccivil_03/_ato2019-2022/2021/lei/L14133.htm" \l "art105" </w:instrText>
      </w:r>
      <w:r>
        <w:fldChar w:fldCharType="separate"/>
      </w:r>
      <w:r>
        <w:rPr>
          <w:rStyle w:val="9"/>
          <w:rFonts w:ascii="Arial" w:hAnsi="Arial" w:eastAsia="Arial" w:cs="Arial"/>
          <w:color w:val="000000"/>
        </w:rPr>
        <w:t>artigo 105 da Lei n° 14.133, de 2021</w:t>
      </w:r>
      <w:r>
        <w:rPr>
          <w:rStyle w:val="9"/>
          <w:rFonts w:ascii="Arial" w:hAnsi="Arial" w:eastAsia="Arial" w:cs="Arial"/>
          <w:color w:val="000000"/>
        </w:rPr>
        <w:fldChar w:fldCharType="end"/>
      </w:r>
      <w:r>
        <w:rPr>
          <w:rFonts w:ascii="Arial" w:hAnsi="Arial" w:eastAsia="Arial" w:cs="Arial"/>
          <w:color w:val="000000"/>
        </w:rPr>
        <w:t>.</w:t>
      </w:r>
    </w:p>
    <w:p w14:paraId="1AC23CE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28A68A03">
      <w:pPr>
        <w:pStyle w:val="19"/>
        <w:widowControl/>
        <w:tabs>
          <w:tab w:val="left" w:pos="426"/>
        </w:tabs>
        <w:autoSpaceDE/>
        <w:autoSpaceDN/>
        <w:spacing w:before="120" w:after="120" w:line="24" w:lineRule="atLeast"/>
        <w:ind w:left="0"/>
        <w:jc w:val="both"/>
        <w:rPr>
          <w:rFonts w:ascii="Arial" w:hAnsi="Arial" w:cs="Arial"/>
          <w:bCs/>
          <w:iCs/>
        </w:rPr>
      </w:pPr>
    </w:p>
    <w:p w14:paraId="18095BC0">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DA FISCALIZAÇÃO DO CONTRATO</w:t>
      </w:r>
    </w:p>
    <w:p w14:paraId="3A11933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Contrato deverá ser executado fielmente pelas partes, de acordo com as cláusulas avençadas, as normas da Lei Nacional nº 14.133, de 2021 e a legislação residual incidente, e cada parte responderá pelas consequências de sua inexecução total ou parcial.</w:t>
      </w:r>
    </w:p>
    <w:p w14:paraId="4F4A77B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de impedimento, ordem de paralisação ou suspensão do contrato, seu prazo de vigência será prorrogado automaticamente pelo tempo correspondente, assim como nas contratações que previrem a conclusão de escopo predefinido, cuja vigência será prorrogada automaticamente quando seu objeto não for concluído no período inicialmente firmado no contrato, obedecida à disciplina do art. 111 da Lei Federal nº. 14.133/2021.</w:t>
      </w:r>
    </w:p>
    <w:p w14:paraId="76E022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As comunicações entre o órgão ou entidade e a Contratada deverão ser realizadas por escrito, sempre que o ato exigir tal formalidade, admitindo-se o uso de mensagem eletrônica para esse fim.</w:t>
      </w:r>
    </w:p>
    <w:p w14:paraId="0F92428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órgão ou entidade poderá convocar representante da empresa para adoção de providências que devam ser cumpridas de imediato.</w:t>
      </w:r>
    </w:p>
    <w:p w14:paraId="790F875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Após a assinatura do Contrato ou instrumento equivalente, o órgão ou entidade poderá convocar o representante da Contratada para reunião inicial com vistas a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C8F5D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execução do Contrato deverá ser acompanhada e fiscalizada pelo (s) fiscal (is) do Contrato, ou pelos respectivos substitutos, a serem indicados através de Ordem de Serviço após a assinatura contratual, observado o art. 117 da Lei Nacional n.º 14.133/2021.</w:t>
      </w:r>
    </w:p>
    <w:p w14:paraId="2F8B36A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acompanhará a sua execução, para que sejam cumpridas todas as condições nele estabelecidas, de modo a assegurar os melhores resultados para a Administração Pública.</w:t>
      </w:r>
    </w:p>
    <w:p w14:paraId="0ABC9BC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anotará no histórico de gerenciamento todas as ocorrências relacionadas à execução contratual, com a descrição do que for necessário para a regularização das faltas ou dos defeitos observados, observado o art. 117 da Lei Nacional n.º 14.133/2021.</w:t>
      </w:r>
    </w:p>
    <w:p w14:paraId="00B200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Identificada qualquer inexatidão ou irregularidade, o fiscal técnico do Contrato emitirá notificações para a correção da execução contratual, determinando prazo para a correção.</w:t>
      </w:r>
    </w:p>
    <w:p w14:paraId="47C396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informará ao gestor, em tempo hábil, a situação que demandar decisão ou adoção de medidas que ultrapassem sua competência, para que adote as medidas necessárias e saneadoras, se for o caso.</w:t>
      </w:r>
    </w:p>
    <w:p w14:paraId="3565C36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caso de ocorrências que possam inviabilizar a execução contratual nas datas aprazadas, o fiscal técnico do Contrato comunicará o fato imediatamente ao gestor. </w:t>
      </w:r>
    </w:p>
    <w:p w14:paraId="1C06E193">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comunicará ao gestor, em tempo hábil, o término do Contrato sob sua responsabilidade, com vistas à tempestiva renovação ou à prorrogação contratual.</w:t>
      </w:r>
    </w:p>
    <w:p w14:paraId="4F0887F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os registros realizados pelos fiscais, de todas as ocorrências relacionadas à execução contratual e as medidas adotadas, informando, se for o caso, à autoridade superior àquelas que ultrapassarem a sua competência.</w:t>
      </w:r>
    </w:p>
    <w:p w14:paraId="1555C89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FDB80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ocorra descumprimento das obrigações contratuais, o fiscal administrativo do Contrato atuará tempestivamente na solução do problema, reportando ao gestor, para que tome as providências cabíveis, quando ultrapassar a sua competência.</w:t>
      </w:r>
    </w:p>
    <w:p w14:paraId="1E89B69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w:t>
      </w:r>
      <w:r>
        <w:rPr>
          <w:rFonts w:ascii="Arial" w:hAnsi="Arial" w:cs="Arial" w:eastAsiaTheme="majorEastAsia"/>
          <w:lang w:val="en-US" w:eastAsia="pt-BR"/>
        </w:rPr>
        <w:t xml:space="preserve"> </w:t>
      </w:r>
      <w:r>
        <w:rPr>
          <w:rFonts w:ascii="Arial" w:hAnsi="Arial" w:cs="Arial" w:eastAsiaTheme="majorEastAsia"/>
          <w:lang w:val="pt-BR" w:eastAsia="pt-BR"/>
        </w:rPr>
        <w:t xml:space="preserve">relatório com vistas à verificação da necessidade de adequações do Contrato para fins de atendimento da finalidade da Administração. </w:t>
      </w:r>
    </w:p>
    <w:p w14:paraId="242E94B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A0C5D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5FEE6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O gestor do Contrato tomará providências para a formalização de processo administrativo de responsabilização com vistas a aplicação de sanções, a ser conduzido pela comissão de que trata o </w:t>
      </w:r>
      <w:r>
        <w:fldChar w:fldCharType="begin"/>
      </w:r>
      <w:r>
        <w:instrText xml:space="preserve"> HYPERLINK "https://www.planalto.gov.br/ccivil_03/_ato2019-2022/2021/lei/l14133.htm" \l "art158" </w:instrText>
      </w:r>
      <w:r>
        <w:fldChar w:fldCharType="separate"/>
      </w:r>
      <w:r>
        <w:rPr>
          <w:rFonts w:ascii="Arial" w:hAnsi="Arial" w:cs="Arial" w:eastAsiaTheme="majorEastAsia"/>
          <w:lang w:val="pt-BR" w:eastAsia="pt-BR"/>
        </w:rPr>
        <w:t>art. 158 da Lei Nacional n.º 14.133, de 2021</w:t>
      </w:r>
      <w:r>
        <w:rPr>
          <w:rFonts w:ascii="Arial" w:hAnsi="Arial" w:cs="Arial" w:eastAsiaTheme="majorEastAsia"/>
          <w:lang w:val="pt-BR" w:eastAsia="pt-BR"/>
        </w:rPr>
        <w:fldChar w:fldCharType="end"/>
      </w:r>
      <w:r>
        <w:rPr>
          <w:rFonts w:ascii="Arial" w:hAnsi="Arial" w:cs="Arial" w:eastAsiaTheme="majorEastAsia"/>
          <w:lang w:val="pt-BR" w:eastAsia="pt-BR"/>
        </w:rPr>
        <w:t>, pelo agente ou pelo setor com competência para tal, conforme o caso.</w:t>
      </w:r>
    </w:p>
    <w:p w14:paraId="764AAC5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elaborar relatório final com informações sobre a consecução dos objetivos que tenham justificado a contratação e eventuais condutas a serem adotadas para o aprimoramento das atividades da Administração.</w:t>
      </w:r>
    </w:p>
    <w:p w14:paraId="29C1FF7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enviar a documentação pertinente ao setor de Contratos para a formalização dos procedimentos de liquidação e pagamento, no valor dimensionado pela fiscalização e gestão nos termos do Contrato.</w:t>
      </w:r>
    </w:p>
    <w:p w14:paraId="12722FE8">
      <w:pPr>
        <w:pStyle w:val="19"/>
        <w:tabs>
          <w:tab w:val="left" w:pos="284"/>
        </w:tabs>
        <w:spacing w:line="24" w:lineRule="atLeast"/>
        <w:ind w:left="0"/>
        <w:jc w:val="both"/>
        <w:rPr>
          <w:rFonts w:ascii="Arial" w:hAnsi="Arial" w:cs="Arial" w:eastAsiaTheme="majorEastAsia"/>
          <w:lang w:val="pt-BR" w:eastAsia="pt-BR"/>
        </w:rPr>
      </w:pPr>
    </w:p>
    <w:p w14:paraId="41A4892F">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02FA8DD">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permitida a subcontratação parcial do objeto, desde que não estejam</w:t>
      </w:r>
      <w:r>
        <w:rPr>
          <w:rFonts w:ascii="Arial" w:hAnsi="Arial" w:cs="Arial"/>
          <w:bCs/>
          <w:lang w:val="pt-BR"/>
        </w:rPr>
        <w:t xml:space="preserve"> </w:t>
      </w:r>
      <w:r>
        <w:rPr>
          <w:rFonts w:ascii="Arial" w:hAnsi="Arial" w:cs="Arial"/>
          <w:bCs/>
        </w:rPr>
        <w:t>inseridas nos itens de maior relevância ou de valor significativo do objeto da licitação, assim consideradas as que tenham valor individual igual ou superior a 4% (quatro por cento) do valor total estimado da contratação, observada a norma dos arts. 67 e 122 da Lei nacional n.º 14133/2021.</w:t>
      </w:r>
    </w:p>
    <w:p w14:paraId="1F6E097E">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B6EED21">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A subcontratação depende de autorização prévia do contratante, a quem incumbe avaliar se o subcontratado cumpre os requisitos de qualificação técnica necessários para a execução do objeto.</w:t>
      </w:r>
    </w:p>
    <w:p w14:paraId="498BFA55">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O contratado apresentará à Administração documentação que comprove a capacidade técnica do subcontratado, que será avaliada e juntada aos autos do processo correspondente.</w:t>
      </w:r>
    </w:p>
    <w:p w14:paraId="1A0F6593">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BB871F2">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4DF83DEF">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476CDEAD">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6A77F6B">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será responsável pela padronização, pela compatibilidade, pelo gerenciamento centralizado e pela qualidade da subcontratação.</w:t>
      </w:r>
    </w:p>
    <w:p w14:paraId="52D00D4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Os empenhos e pagamentos referentes às parcelas subcontratadas serão destinados diretamente às microempresas e empresas de pequeno porte subcontratadas.</w:t>
      </w:r>
    </w:p>
    <w:p w14:paraId="129A3BBB">
      <w:pPr>
        <w:pStyle w:val="19"/>
        <w:widowControl/>
        <w:tabs>
          <w:tab w:val="left" w:pos="426"/>
        </w:tabs>
        <w:autoSpaceDE/>
        <w:autoSpaceDN/>
        <w:spacing w:before="120" w:after="120" w:line="24" w:lineRule="atLeast"/>
        <w:ind w:left="862"/>
        <w:jc w:val="both"/>
        <w:rPr>
          <w:rFonts w:ascii="Arial" w:hAnsi="Arial" w:cs="Arial"/>
          <w:bCs/>
        </w:rPr>
      </w:pPr>
    </w:p>
    <w:p w14:paraId="41F22DBB">
      <w:pPr>
        <w:pStyle w:val="19"/>
        <w:numPr>
          <w:ilvl w:val="0"/>
          <w:numId w:val="3"/>
        </w:numPr>
        <w:tabs>
          <w:tab w:val="left" w:pos="284"/>
        </w:tabs>
        <w:spacing w:line="24" w:lineRule="atLeast"/>
        <w:ind w:left="0" w:firstLine="0"/>
        <w:jc w:val="both"/>
        <w:rPr>
          <w:rFonts w:ascii="Arial" w:hAnsi="Arial" w:cs="Arial"/>
          <w:bCs/>
          <w:i/>
          <w:color w:val="FF0000"/>
        </w:rPr>
      </w:pPr>
      <w:r>
        <w:rPr>
          <w:rFonts w:ascii="Arial" w:hAnsi="Arial" w:cs="Arial" w:eastAsiaTheme="majorEastAsia"/>
          <w:b/>
          <w:bCs/>
          <w:lang w:val="pt-BR" w:eastAsia="pt-BR"/>
        </w:rPr>
        <w:t>CLÁUSULA QUINTA – PREÇO (art. 92, V)</w:t>
      </w:r>
    </w:p>
    <w:p w14:paraId="02D12CA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 xml:space="preserve">O valor total da contratação é de R$.......... (.....) </w:t>
      </w:r>
    </w:p>
    <w:p w14:paraId="2DAA2A8E">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2F4C0C">
      <w:pPr>
        <w:pStyle w:val="19"/>
        <w:widowControl/>
        <w:tabs>
          <w:tab w:val="left" w:pos="426"/>
        </w:tabs>
        <w:autoSpaceDE/>
        <w:autoSpaceDN/>
        <w:spacing w:before="120" w:after="120" w:line="24" w:lineRule="atLeast"/>
        <w:ind w:left="0"/>
        <w:jc w:val="both"/>
        <w:rPr>
          <w:rFonts w:ascii="Arial" w:hAnsi="Arial" w:cs="Arial"/>
          <w:bCs/>
          <w:i/>
          <w:color w:val="FF0000"/>
        </w:rPr>
      </w:pPr>
    </w:p>
    <w:p w14:paraId="55855D9F">
      <w:pPr>
        <w:pStyle w:val="19"/>
        <w:numPr>
          <w:ilvl w:val="0"/>
          <w:numId w:val="3"/>
        </w:numPr>
        <w:tabs>
          <w:tab w:val="left" w:pos="284"/>
        </w:tabs>
        <w:spacing w:line="24" w:lineRule="atLeast"/>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86580F0">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Nota Fiscal deverá ser emitida em nome de: </w:t>
      </w:r>
    </w:p>
    <w:p w14:paraId="691071C5">
      <w:pPr>
        <w:tabs>
          <w:tab w:val="left" w:pos="851"/>
        </w:tabs>
        <w:spacing w:before="113" w:line="24" w:lineRule="atLeast"/>
        <w:ind w:left="284" w:right="301" w:rightChars="137"/>
        <w:jc w:val="both"/>
        <w:rPr>
          <w:rFonts w:ascii="Arial" w:hAnsi="Arial" w:cs="Arial"/>
        </w:rPr>
      </w:pPr>
      <w:r>
        <w:rPr>
          <w:rFonts w:ascii="Arial" w:hAnsi="Arial" w:cs="Arial"/>
          <w:lang w:val="pt-BR"/>
        </w:rPr>
        <w:t xml:space="preserve">- </w:t>
      </w:r>
      <w:r>
        <w:rPr>
          <w:rFonts w:ascii="Arial" w:hAnsi="Arial" w:cs="Arial"/>
        </w:rPr>
        <w:t>MUNICÍPIO DE NOVA FRIBURGO</w:t>
      </w:r>
      <w:r>
        <w:rPr>
          <w:rFonts w:ascii="Arial" w:hAnsi="Arial" w:cs="Arial"/>
          <w:lang w:val="pt-BR"/>
        </w:rPr>
        <w:t xml:space="preserve">, </w:t>
      </w:r>
      <w:r>
        <w:rPr>
          <w:rFonts w:ascii="Arial" w:hAnsi="Arial" w:cs="Arial"/>
        </w:rPr>
        <w:t>CNPJ: 28.606.630/0001-23</w:t>
      </w:r>
      <w:r>
        <w:rPr>
          <w:rFonts w:ascii="Arial" w:hAnsi="Arial" w:cs="Arial"/>
          <w:lang w:val="pt-BR"/>
        </w:rPr>
        <w:t xml:space="preserve">, </w:t>
      </w:r>
      <w:r>
        <w:rPr>
          <w:rFonts w:ascii="Arial" w:hAnsi="Arial" w:cs="Arial"/>
        </w:rPr>
        <w:t>ENDEREÇO: Avenida Alberto Braune, 225, Centro, Nova Friburgo.</w:t>
      </w:r>
    </w:p>
    <w:p w14:paraId="36E972B3">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6.2  </w:t>
      </w:r>
      <w:r>
        <w:rPr>
          <w:rFonts w:ascii="Arial" w:hAnsi="Arial" w:eastAsia="SimSun" w:cs="Arial"/>
          <w:color w:val="000000"/>
          <w:lang w:val="en-US" w:eastAsia="zh-CN" w:bidi="ar"/>
        </w:rPr>
        <w:t xml:space="preserve">Da liquidação da despesa: </w:t>
      </w:r>
    </w:p>
    <w:p w14:paraId="34E21897">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6.1.2 </w:t>
      </w:r>
      <w:r>
        <w:rPr>
          <w:rFonts w:ascii="Arial" w:hAnsi="Arial" w:eastAsia="SimSun" w:cs="Arial"/>
          <w:color w:val="000000"/>
          <w:lang w:val="en-US" w:eastAsia="zh-CN" w:bidi="ar"/>
        </w:rPr>
        <w:t>A liquidação será realizada pela Secretaria Municipal de</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a partir do cumprimento das obrigações elencadas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neste Termo de Referência, em obediência ao Decreto nº 2493, de 07 de novembro de 2023 ou outro que vier a substituí-lo.</w:t>
      </w:r>
    </w:p>
    <w:p w14:paraId="60D63158">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  </w:t>
      </w:r>
      <w:r>
        <w:rPr>
          <w:rFonts w:ascii="Arial" w:hAnsi="Arial" w:eastAsia="SimSun" w:cs="Arial"/>
          <w:color w:val="000000"/>
          <w:lang w:val="en-US" w:eastAsia="zh-CN" w:bidi="ar"/>
        </w:rPr>
        <w:t xml:space="preserve">Do pagamento da despesa: </w:t>
      </w:r>
    </w:p>
    <w:p w14:paraId="142FEAAB">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6.3.1 </w:t>
      </w:r>
      <w:r>
        <w:rPr>
          <w:rFonts w:ascii="Arial" w:hAnsi="Arial" w:eastAsia="SimSun" w:cs="Arial"/>
          <w:color w:val="000000"/>
          <w:lang w:val="en-US" w:eastAsia="zh-CN" w:bidi="ar"/>
        </w:rPr>
        <w:t xml:space="preserve">O pagamento será efetuado conforme estabelecido no Decreto Municipal nº 2493, de 07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de novembro de 2023, desde que as certidões listadas abaixo estejam dentro da validade: </w:t>
      </w:r>
    </w:p>
    <w:p w14:paraId="0D4A529A">
      <w:pPr>
        <w:pStyle w:val="2"/>
        <w:spacing w:line="24" w:lineRule="atLeast"/>
        <w:ind w:left="660" w:leftChars="300"/>
        <w:jc w:val="both"/>
        <w:rPr>
          <w:rFonts w:eastAsia="SimSun"/>
          <w:color w:val="000000"/>
          <w:sz w:val="22"/>
          <w:szCs w:val="22"/>
          <w:lang w:val="pt-BR" w:eastAsia="zh-CN" w:bidi="ar"/>
        </w:rPr>
      </w:pPr>
      <w:r>
        <w:rPr>
          <w:rFonts w:eastAsia="SimSun"/>
          <w:color w:val="000000"/>
          <w:sz w:val="22"/>
          <w:szCs w:val="22"/>
          <w:lang w:val="pt-BR" w:eastAsia="zh-CN" w:bidi="ar"/>
        </w:rPr>
        <w:t xml:space="preserve">- </w:t>
      </w:r>
      <w:r>
        <w:rPr>
          <w:rFonts w:eastAsia="SimSun"/>
          <w:color w:val="000000"/>
          <w:sz w:val="22"/>
          <w:szCs w:val="22"/>
          <w:lang w:val="en-US" w:eastAsia="zh-CN" w:bidi="ar"/>
        </w:rPr>
        <w:t xml:space="preserve">Negativa de Débitos Trabalhistas; </w:t>
      </w:r>
      <w:r>
        <w:rPr>
          <w:rFonts w:eastAsia="SimSun"/>
          <w:color w:val="000000"/>
          <w:sz w:val="22"/>
          <w:szCs w:val="22"/>
          <w:lang w:val="pt-BR" w:eastAsia="zh-CN" w:bidi="ar"/>
        </w:rPr>
        <w:t xml:space="preserve"> </w:t>
      </w:r>
    </w:p>
    <w:p w14:paraId="774FA56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Federal – abrange as contribuições sociais; </w:t>
      </w:r>
    </w:p>
    <w:p w14:paraId="458A2B60">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FGTS; </w:t>
      </w:r>
    </w:p>
    <w:p w14:paraId="60AEE78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PGE – referente à Dívida Ativa Estadual; </w:t>
      </w:r>
    </w:p>
    <w:p w14:paraId="30F5F8B8">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Municipal – referente ao ISS e Dívida Ativa; </w:t>
      </w:r>
    </w:p>
    <w:p w14:paraId="67538548">
      <w:pPr>
        <w:widowControl/>
        <w:autoSpaceDE/>
        <w:autoSpaceDN/>
        <w:spacing w:line="24" w:lineRule="atLeast"/>
        <w:ind w:left="660" w:leftChars="30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Estadual CND – referente ao ICMS. </w:t>
      </w:r>
    </w:p>
    <w:p w14:paraId="0A2CFE37">
      <w:pPr>
        <w:widowControl/>
        <w:spacing w:line="24" w:lineRule="atLeast"/>
        <w:ind w:left="720"/>
        <w:jc w:val="both"/>
        <w:rPr>
          <w:rFonts w:ascii="Arial" w:hAnsi="Arial" w:eastAsia="SimSun" w:cs="Arial"/>
          <w:color w:val="000000"/>
          <w:lang w:val="en-US" w:eastAsia="zh-CN" w:bidi="ar"/>
        </w:rPr>
      </w:pPr>
    </w:p>
    <w:p w14:paraId="7B213C66">
      <w:pPr>
        <w:pStyle w:val="19"/>
        <w:spacing w:line="24" w:lineRule="atLeast"/>
        <w:ind w:left="300"/>
        <w:jc w:val="both"/>
        <w:rPr>
          <w:rFonts w:ascii="Arial" w:hAnsi="Arial" w:cs="Arial"/>
          <w:lang w:val="en-US" w:eastAsia="zh-CN"/>
        </w:rPr>
      </w:pPr>
      <w:r>
        <w:rPr>
          <w:rFonts w:ascii="Arial" w:hAnsi="Arial" w:cs="Arial"/>
          <w:lang w:val="pt-BR" w:eastAsia="zh-CN"/>
        </w:rPr>
        <w:t xml:space="preserve">6.3.2  </w:t>
      </w:r>
      <w:r>
        <w:rPr>
          <w:rFonts w:ascii="Arial" w:hAnsi="Arial" w:cs="Arial"/>
          <w:lang w:val="en-US" w:eastAsia="zh-CN"/>
        </w:rPr>
        <w:t xml:space="preserve">A Nota Fiscal deverá conter a identificação do Banco, número da Agência e da Conta Corrente, para que possibilite o CONTRATANTE efetuar o pagamento do valor devido; </w:t>
      </w:r>
    </w:p>
    <w:p w14:paraId="45170CA4">
      <w:pPr>
        <w:pStyle w:val="19"/>
        <w:spacing w:line="24" w:lineRule="atLeast"/>
        <w:ind w:left="300"/>
        <w:jc w:val="both"/>
        <w:rPr>
          <w:rFonts w:ascii="Arial" w:hAnsi="Arial" w:cs="Arial"/>
          <w:lang w:val="en-US" w:eastAsia="zh-CN"/>
        </w:rPr>
      </w:pPr>
      <w:r>
        <w:rPr>
          <w:rFonts w:ascii="Arial" w:hAnsi="Arial" w:cs="Arial"/>
          <w:lang w:val="pt-BR" w:eastAsia="zh-CN"/>
        </w:rPr>
        <w:t xml:space="preserve">6.3.3 </w:t>
      </w:r>
      <w:r>
        <w:rPr>
          <w:rFonts w:ascii="Arial" w:hAnsi="Arial" w:cs="Arial"/>
          <w:lang w:val="en-US" w:eastAsia="zh-CN"/>
        </w:rPr>
        <w:t>Na ocorrência de rejeição da(s) Nota(s) Fiscal (s), motivada por erro ou incorreções, o prazo para pagamento estipulado acima passará a ser contado a partir da data de sua</w:t>
      </w:r>
      <w:r>
        <w:rPr>
          <w:rFonts w:ascii="Arial" w:hAnsi="Arial" w:cs="Arial"/>
          <w:lang w:val="pt-BR" w:eastAsia="zh-CN"/>
        </w:rPr>
        <w:t xml:space="preserve"> </w:t>
      </w:r>
      <w:r>
        <w:rPr>
          <w:rFonts w:ascii="Arial" w:hAnsi="Arial" w:cs="Arial"/>
          <w:lang w:val="en-US" w:eastAsia="zh-CN"/>
        </w:rPr>
        <w:t xml:space="preserve">reapresentação. </w:t>
      </w:r>
    </w:p>
    <w:p w14:paraId="204CC586">
      <w:pPr>
        <w:pStyle w:val="19"/>
        <w:spacing w:line="24" w:lineRule="atLeast"/>
        <w:ind w:left="300"/>
        <w:jc w:val="both"/>
        <w:rPr>
          <w:rFonts w:ascii="Arial" w:hAnsi="Arial" w:eastAsia="SimSun" w:cs="Arial"/>
          <w:color w:val="000000"/>
          <w:lang w:val="en-US" w:eastAsia="zh-CN" w:bidi="ar"/>
        </w:rPr>
      </w:pPr>
      <w:r>
        <w:rPr>
          <w:rFonts w:ascii="Arial" w:hAnsi="Arial" w:cs="Arial"/>
          <w:lang w:val="pt-BR" w:eastAsia="zh-CN"/>
        </w:rPr>
        <w:t xml:space="preserve">6.3.4 </w:t>
      </w:r>
      <w:r>
        <w:rPr>
          <w:rFonts w:ascii="Arial" w:hAnsi="Arial" w:cs="Arial"/>
          <w:lang w:val="en-US" w:eastAsia="zh-CN"/>
        </w:rPr>
        <w:t xml:space="preserve">Consoante o artigo 45 da Lei nº 9.784, de 1999, a Administração Pública poderá, sem a </w:t>
      </w:r>
      <w:r>
        <w:rPr>
          <w:rFonts w:ascii="Arial" w:hAnsi="Arial" w:cs="Arial"/>
          <w:lang w:val="pt-BR" w:eastAsia="zh-CN"/>
        </w:rPr>
        <w:t xml:space="preserve"> </w:t>
      </w:r>
      <w:r>
        <w:rPr>
          <w:rFonts w:ascii="Arial" w:hAnsi="Arial" w:cs="Arial"/>
          <w:lang w:val="en-US" w:eastAsia="zh-CN"/>
        </w:rPr>
        <w:t>prévia manifestação do interessado, motivadamente, adotar providências acauteladoras</w:t>
      </w:r>
      <w:r>
        <w:rPr>
          <w:rFonts w:ascii="Arial" w:hAnsi="Arial" w:cs="Arial"/>
          <w:lang w:val="pt-BR" w:eastAsia="zh-CN"/>
        </w:rPr>
        <w:t xml:space="preserve">, </w:t>
      </w:r>
      <w:r>
        <w:rPr>
          <w:rFonts w:ascii="Arial" w:hAnsi="Arial" w:cs="Arial"/>
          <w:lang w:val="en-US" w:eastAsia="zh-CN"/>
        </w:rPr>
        <w:t xml:space="preserve">inclusive retendo o pagamento, em caso de risco iminente, como forma de prevenir a ocorrência de dano de difícil ou impossível reparação. </w:t>
      </w:r>
    </w:p>
    <w:p w14:paraId="3C426645">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6.4  </w:t>
      </w:r>
      <w:r>
        <w:rPr>
          <w:rFonts w:ascii="Arial" w:hAnsi="Arial" w:eastAsia="SimSun" w:cs="Arial"/>
          <w:color w:val="000000"/>
          <w:lang w:val="en-US" w:eastAsia="zh-CN" w:bidi="ar"/>
        </w:rPr>
        <w:t xml:space="preserve">A Licitante deverá apresentar o cronograma físico-financeiro adequado a sua proposta e em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conformidade com o percentual previsto para desembolso elaborado pela Administração</w:t>
      </w:r>
    </w:p>
    <w:p w14:paraId="5A5A2E92">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6.5  </w:t>
      </w:r>
      <w:r>
        <w:rPr>
          <w:rFonts w:ascii="Arial" w:hAnsi="Arial" w:eastAsia="SimSun" w:cs="Arial"/>
          <w:color w:val="000000"/>
          <w:lang w:val="en-US" w:eastAsia="zh-CN" w:bidi="ar"/>
        </w:rPr>
        <w:t xml:space="preserve">Os pagamentos serão efetuados conforme a legislação de regência. </w:t>
      </w:r>
    </w:p>
    <w:p w14:paraId="50B97825">
      <w:pPr>
        <w:pStyle w:val="19"/>
        <w:spacing w:line="24" w:lineRule="atLeast"/>
        <w:ind w:left="0"/>
        <w:jc w:val="both"/>
        <w:rPr>
          <w:rFonts w:ascii="Arial" w:hAnsi="Arial" w:cs="Arial"/>
          <w:lang w:val="en-US" w:eastAsia="zh-CN"/>
        </w:rPr>
      </w:pPr>
      <w:r>
        <w:rPr>
          <w:rFonts w:ascii="Arial" w:hAnsi="Arial" w:cs="Arial"/>
          <w:lang w:val="pt-BR" w:eastAsia="zh-CN"/>
        </w:rPr>
        <w:t xml:space="preserve">6.6  </w:t>
      </w:r>
      <w:r>
        <w:rPr>
          <w:rFonts w:ascii="Arial" w:hAnsi="Arial" w:cs="Arial"/>
          <w:lang w:val="en-US" w:eastAsia="zh-CN"/>
        </w:rPr>
        <w:t xml:space="preserve">Quando da apresentação das medições, deverá ser observada a normativa incidente, bem como a manutenção da regularidade fiscal ao longo do contrato. </w:t>
      </w:r>
    </w:p>
    <w:p w14:paraId="76430CDD">
      <w:pPr>
        <w:pStyle w:val="19"/>
        <w:spacing w:line="24" w:lineRule="atLeast"/>
        <w:ind w:left="0"/>
        <w:jc w:val="both"/>
        <w:rPr>
          <w:rFonts w:ascii="Arial" w:hAnsi="Arial" w:cs="Arial"/>
          <w:lang w:val="en-US" w:eastAsia="zh-CN"/>
        </w:rPr>
      </w:pPr>
      <w:r>
        <w:rPr>
          <w:rFonts w:ascii="Arial" w:hAnsi="Arial" w:cs="Arial"/>
          <w:lang w:val="pt-BR" w:eastAsia="zh-CN"/>
        </w:rPr>
        <w:t xml:space="preserve">6.7 </w:t>
      </w:r>
      <w:r>
        <w:rPr>
          <w:rFonts w:ascii="Arial" w:hAnsi="Arial" w:cs="Arial"/>
          <w:lang w:val="en-US" w:eastAsia="zh-CN"/>
        </w:rPr>
        <w:t>Não serão concedidos reajustes contratuais quando não houver o cumprimento do</w:t>
      </w:r>
      <w:r>
        <w:rPr>
          <w:rFonts w:ascii="Arial" w:hAnsi="Arial" w:cs="Arial"/>
          <w:lang w:val="pt-BR" w:eastAsia="zh-CN"/>
        </w:rPr>
        <w:t xml:space="preserve"> </w:t>
      </w:r>
      <w:r>
        <w:rPr>
          <w:rFonts w:ascii="Arial" w:hAnsi="Arial" w:cs="Arial"/>
          <w:lang w:val="en-US" w:eastAsia="zh-CN"/>
        </w:rPr>
        <w:t>cronograma proposto pela Contratada, não justificado pela fiscalização.</w:t>
      </w:r>
    </w:p>
    <w:p w14:paraId="055169EF">
      <w:pPr>
        <w:pStyle w:val="19"/>
        <w:spacing w:line="24" w:lineRule="atLeast"/>
        <w:ind w:left="0"/>
        <w:jc w:val="both"/>
        <w:rPr>
          <w:rFonts w:ascii="Arial" w:hAnsi="Arial" w:cs="Arial"/>
          <w:lang w:val="en-US" w:eastAsia="zh-CN"/>
        </w:rPr>
      </w:pPr>
      <w:r>
        <w:rPr>
          <w:rFonts w:ascii="Arial" w:hAnsi="Arial" w:cs="Arial"/>
          <w:lang w:val="pt-BR" w:eastAsia="zh-CN"/>
        </w:rPr>
        <w:t xml:space="preserve">6.8  </w:t>
      </w:r>
      <w:r>
        <w:rPr>
          <w:rFonts w:ascii="Arial" w:hAnsi="Arial" w:cs="Arial"/>
          <w:lang w:val="en-US" w:eastAsia="zh-CN"/>
        </w:rPr>
        <w:t xml:space="preserve">Na hipótese de atraso no pagamento pela Administração, a aplicação de atualização do valor </w:t>
      </w:r>
      <w:r>
        <w:rPr>
          <w:rFonts w:ascii="Arial" w:hAnsi="Arial" w:cs="Arial"/>
          <w:lang w:val="pt-BR" w:eastAsia="zh-CN"/>
        </w:rPr>
        <w:t xml:space="preserve"> </w:t>
      </w:r>
      <w:r>
        <w:rPr>
          <w:rFonts w:ascii="Arial" w:hAnsi="Arial" w:cs="Arial"/>
          <w:lang w:val="en-US" w:eastAsia="zh-CN"/>
        </w:rPr>
        <w:t xml:space="preserve">deverá atender, inicialmente, a legislação que rege a matéria e o menor índice legal previsto. </w:t>
      </w:r>
    </w:p>
    <w:p w14:paraId="1F599BD1">
      <w:pPr>
        <w:pStyle w:val="19"/>
        <w:spacing w:line="24" w:lineRule="atLeast"/>
        <w:ind w:left="0"/>
        <w:jc w:val="both"/>
        <w:rPr>
          <w:rFonts w:ascii="Arial" w:hAnsi="Arial" w:cs="Arial"/>
          <w:lang w:val="en-US" w:eastAsia="zh-CN"/>
        </w:rPr>
      </w:pPr>
      <w:r>
        <w:rPr>
          <w:rFonts w:ascii="Arial" w:hAnsi="Arial" w:cs="Arial"/>
          <w:lang w:val="pt-BR" w:eastAsia="zh-CN"/>
        </w:rPr>
        <w:t xml:space="preserve">6.9  </w:t>
      </w:r>
      <w:r>
        <w:rPr>
          <w:rFonts w:ascii="Arial" w:hAnsi="Arial" w:cs="Arial"/>
          <w:lang w:val="en-US" w:eastAsia="zh-CN"/>
        </w:rPr>
        <w:t>Não será admitida a cessão de crédito pela Contratada.</w:t>
      </w:r>
    </w:p>
    <w:p w14:paraId="4BBB57EC">
      <w:pPr>
        <w:pStyle w:val="19"/>
        <w:widowControl/>
        <w:tabs>
          <w:tab w:val="left" w:pos="426"/>
        </w:tabs>
        <w:autoSpaceDE/>
        <w:autoSpaceDN/>
        <w:spacing w:before="120" w:after="120" w:line="24" w:lineRule="atLeast"/>
        <w:ind w:left="0"/>
        <w:jc w:val="both"/>
        <w:rPr>
          <w:rFonts w:ascii="Arial" w:hAnsi="Arial" w:cs="Arial" w:eastAsiaTheme="majorEastAsia"/>
          <w:lang w:val="pt-BR" w:eastAsia="pt-BR"/>
        </w:rPr>
      </w:pPr>
    </w:p>
    <w:p w14:paraId="6D28DF02">
      <w:pPr>
        <w:pStyle w:val="19"/>
        <w:numPr>
          <w:ilvl w:val="0"/>
          <w:numId w:val="3"/>
        </w:numPr>
        <w:tabs>
          <w:tab w:val="left" w:pos="284"/>
        </w:tabs>
        <w:spacing w:line="24" w:lineRule="atLeast"/>
        <w:ind w:left="284"/>
        <w:rPr>
          <w:rFonts w:ascii="Arial" w:hAnsi="Arial" w:cs="Arial" w:eastAsiaTheme="majorEastAsia"/>
          <w:lang w:val="pt-BR" w:eastAsia="pt-BR"/>
        </w:rPr>
      </w:pPr>
      <w:bookmarkStart w:id="3" w:name="_Toc26662"/>
      <w:bookmarkStart w:id="4" w:name="_Toc28979"/>
      <w:r>
        <w:rPr>
          <w:rFonts w:ascii="Arial" w:hAnsi="Arial" w:cs="Arial" w:eastAsiaTheme="majorEastAsia"/>
          <w:b/>
          <w:bCs/>
          <w:lang w:val="pt-BR" w:eastAsia="pt-BR"/>
        </w:rPr>
        <w:t>CLÁUSULA SÉTIMA - DAS CONDIÇÕES DE RECEBIMENTO DO OBJETO LICITADO</w:t>
      </w:r>
      <w:bookmarkEnd w:id="3"/>
      <w:bookmarkEnd w:id="4"/>
    </w:p>
    <w:p w14:paraId="54004D9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highlight w:val="none"/>
          <w:lang w:val="pt-BR" w:eastAsia="pt-BR"/>
        </w:rPr>
      </w:pPr>
      <w:r>
        <w:rPr>
          <w:rFonts w:ascii="Arial" w:hAnsi="Arial" w:cs="Arial" w:eastAsiaTheme="majorEastAsia"/>
          <w:lang w:val="pt-BR" w:eastAsia="pt-BR"/>
        </w:rPr>
        <w:t xml:space="preserve">No recebimento do objeto licitado, tendo em vista se </w:t>
      </w:r>
      <w:r>
        <w:rPr>
          <w:rFonts w:ascii="Arial" w:hAnsi="Arial" w:cs="Arial" w:eastAsiaTheme="majorEastAsia"/>
          <w:highlight w:val="none"/>
          <w:lang w:val="pt-BR" w:eastAsia="pt-BR"/>
        </w:rPr>
        <w:t xml:space="preserve">tratar de </w:t>
      </w:r>
      <w:r>
        <w:rPr>
          <w:rFonts w:hint="default" w:ascii="Arial" w:hAnsi="Arial" w:cs="Arial" w:eastAsiaTheme="majorEastAsia"/>
          <w:highlight w:val="none"/>
          <w:lang w:val="en-US" w:eastAsia="pt-BR"/>
        </w:rPr>
        <w:t>reforma</w:t>
      </w:r>
      <w:r>
        <w:rPr>
          <w:rFonts w:ascii="Arial" w:hAnsi="Arial" w:cs="Arial" w:eastAsiaTheme="majorEastAsia"/>
          <w:highlight w:val="none"/>
          <w:lang w:val="pt-BR" w:eastAsia="pt-BR"/>
        </w:rPr>
        <w:t xml:space="preserve"> com obra civil, serão observados os seguintes critérios:</w:t>
      </w:r>
    </w:p>
    <w:p w14:paraId="2AAE1325">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Provisoriamente, pelo responsável por seu acompanhamento e fiscalização, mediante termo detalhado, assinado pelas partes em até 15</w:t>
      </w:r>
      <w:r>
        <w:rPr>
          <w:rFonts w:ascii="Arial" w:hAnsi="Arial" w:cs="Arial" w:eastAsiaTheme="majorEastAsia"/>
          <w:lang w:val="en-US" w:eastAsia="pt-BR"/>
        </w:rPr>
        <w:t xml:space="preserve"> </w:t>
      </w:r>
      <w:r>
        <w:rPr>
          <w:rFonts w:ascii="Arial" w:hAnsi="Arial" w:cs="Arial" w:eastAsiaTheme="majorEastAsia"/>
          <w:lang w:val="pt-BR" w:eastAsia="pt-BR"/>
        </w:rPr>
        <w:t>(quinze) dias da comunicação escrita do contratado, quando verificado o cumprimento das exigências de caráter técnico.</w:t>
      </w:r>
    </w:p>
    <w:p w14:paraId="7321322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Definitivamente, por servidor ou comissão designada pela autoridade competente, mediante termo detalhado que comprove o atendimento das exigências contratuais, observado o disposto no art. 119 da Lei Federal n.º 14.133/2021.</w:t>
      </w:r>
    </w:p>
    <w:p w14:paraId="5B8D04F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Das condições de qualidade dos serviços e aceites:</w:t>
      </w:r>
    </w:p>
    <w:p w14:paraId="4C043DA3">
      <w:pPr>
        <w:pStyle w:val="19"/>
        <w:widowControl/>
        <w:numPr>
          <w:ilvl w:val="2"/>
          <w:numId w:val="3"/>
        </w:numPr>
        <w:tabs>
          <w:tab w:val="left" w:pos="426"/>
        </w:tabs>
        <w:autoSpaceDE/>
        <w:autoSpaceDN/>
        <w:spacing w:before="120" w:after="120" w:line="24" w:lineRule="atLeast"/>
        <w:jc w:val="both"/>
        <w:rPr>
          <w:rFonts w:ascii="Arial" w:hAnsi="Arial" w:cs="Arial" w:eastAsiaTheme="majorEastAsia"/>
          <w:lang w:val="pt-BR" w:eastAsia="pt-BR"/>
        </w:rPr>
      </w:pPr>
      <w:r>
        <w:rPr>
          <w:rFonts w:ascii="Arial" w:hAnsi="Arial" w:cs="Arial" w:eastAsiaTheme="majorEastAsia"/>
          <w:lang w:val="pt-BR" w:eastAsia="pt-BR"/>
        </w:rPr>
        <w:t>Deverão ser atendidos os preceitos da Lei 10.406/2002 (Código Civil) e da Lei 8.078/1990 (Código de Defesa do Consumidor), bem como os artigos 89 e 119 da Lei n.º 14.133/2021 e jurisprudência do TCU, bem como as orientações técnicas do IBRAOP e demais normas técnicas, em especial a ABNT NBR 15.575 –norma de desempenho.</w:t>
      </w:r>
    </w:p>
    <w:p w14:paraId="59BD821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responsabilidade do construtor por defeitos precoces nas obras é objetiva e atinge também os projetistas ou empresas de consultoria, cabendo-lhes eventuais provas de exclusão de culpabilidade, que devem se limitar tão somente às alegações de: caso fortuito, motivo de força maior, culpa exclusiva de terceiros e inexistência do defeito.</w:t>
      </w:r>
    </w:p>
    <w:p w14:paraId="56355B9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da necessidade de reparos e sem haver contestações a esse respeito, a Administração Pública deve se certificar de que as soluções apresentadas pela empreiteira responsável sejam as mais adequadas para garantir que os serviços não sejam meramente paliativos, ou seja, que durem por toda a vida útil da obra.</w:t>
      </w:r>
    </w:p>
    <w:p w14:paraId="58078D8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a empreiteira responsável encaminhe uma peça de defesa, a Administração Pública deve analisá-la, emitindo relatório técnico que, concluindo pela sua procedência, recomende o arquivamento do processo, ou, concluindo pela improcedência, fundamente nova notificação ao executor, desta feita para o início imediato dos serviços. Essa nova notificação deve ser acompanhada de planilha orçamentária que descreva os serviços a serem executados, com suas respectivas quantidades e preços.</w:t>
      </w:r>
    </w:p>
    <w:p w14:paraId="34CCDCB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os reparos não sejam iniciados pela empreiteira no prazo estabelecido na notificação, a Administração Pública poderá solicitar demanda do devido processo judicial (para a Procuradoria-Geral da unidade federativa ou outro Órgão de equivalente função).</w:t>
      </w:r>
    </w:p>
    <w:p w14:paraId="323D2C0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Não há impedimento, em casos urgentes, que a Administração Pública execute os serviços de reparação, para posterior ressarcimento da contratada à Administração Pública. Nesse caso, deve comunicar previamente o fato, informando do respectivo orçamento à empreiteira responsável, para posterior ressarcimento dos cofres públicos.</w:t>
      </w:r>
    </w:p>
    <w:p w14:paraId="6FCFF66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Dado o regular transcurso do processo administrativo ou judicial, bem com a urgência de se iniciarem os reparos, uma vez que sua postergação acarreta o agravamento dos defeitos e perigo ou desconforto aos usuários, deve-se também requisitar um pedido de antecipação de tutela e a arbitragem de uma multa diária pelo não cumprimento.</w:t>
      </w:r>
    </w:p>
    <w:p w14:paraId="55A3231A">
      <w:pPr>
        <w:pStyle w:val="19"/>
        <w:widowControl/>
        <w:numPr>
          <w:ilvl w:val="0"/>
          <w:numId w:val="0"/>
        </w:numPr>
        <w:tabs>
          <w:tab w:val="left" w:pos="426"/>
        </w:tabs>
        <w:autoSpaceDE/>
        <w:autoSpaceDN/>
        <w:spacing w:before="120" w:after="120" w:line="24" w:lineRule="atLeast"/>
        <w:ind w:leftChars="0"/>
        <w:jc w:val="both"/>
        <w:rPr>
          <w:rFonts w:ascii="Arial" w:hAnsi="Arial" w:cs="Arial" w:eastAsiaTheme="majorEastAsia"/>
          <w:lang w:val="pt-BR" w:eastAsia="pt-BR"/>
        </w:rPr>
      </w:pPr>
    </w:p>
    <w:p w14:paraId="0ACD5D23">
      <w:pPr>
        <w:pStyle w:val="19"/>
        <w:numPr>
          <w:ilvl w:val="0"/>
          <w:numId w:val="3"/>
        </w:numPr>
        <w:tabs>
          <w:tab w:val="left" w:pos="284"/>
        </w:tabs>
        <w:spacing w:line="24" w:lineRule="atLeast"/>
        <w:ind w:left="0" w:firstLine="0"/>
        <w:jc w:val="both"/>
        <w:rPr>
          <w:rFonts w:hint="default" w:ascii="Arial" w:hAnsi="Arial" w:cs="Arial" w:eastAsiaTheme="majorEastAsia"/>
          <w:b/>
          <w:bCs/>
          <w:lang w:val="en-US" w:eastAsia="pt-BR"/>
        </w:rPr>
      </w:pPr>
      <w:r>
        <w:rPr>
          <w:rFonts w:hint="default" w:ascii="Arial" w:hAnsi="Arial" w:cs="Arial" w:eastAsiaTheme="majorEastAsia"/>
          <w:b/>
          <w:bCs/>
          <w:lang w:val="en-US" w:eastAsia="pt-BR"/>
        </w:rPr>
        <w:t xml:space="preserve">CLÁUSULA OITAVA -  DAS CONDIÇÕES PARA EXECUÇÃO DO OBJETO E MEDIÇÕES DOS SERVIÇOS </w:t>
      </w:r>
    </w:p>
    <w:p w14:paraId="182D3ED7">
      <w:pPr>
        <w:pStyle w:val="19"/>
        <w:numPr>
          <w:ilvl w:val="1"/>
          <w:numId w:val="3"/>
        </w:numPr>
        <w:tabs>
          <w:tab w:val="left" w:pos="0"/>
        </w:tabs>
        <w:spacing w:line="24" w:lineRule="atLeast"/>
        <w:ind w:left="0" w:leftChars="0" w:firstLine="0" w:firstLineChars="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Na execução dos serviços, deverá haver emissão, pela Contratada, de memória onde fique especificado, dimensionado e situado o serviço realizado, com localização clara dos itens através de projetos, registros fotográficos do local e toda documentação comprobatória da execução dos serviços que se fizer necessária, com fotos da situação antes, durante e após a execução do serviço, com vista a permitir o cadastramento e a efetivação das medições, anexando-se estes documentos aos autos do processo administrativo de pagamento do objeto ora licitado. </w:t>
      </w:r>
    </w:p>
    <w:p w14:paraId="6B33FE86">
      <w:pPr>
        <w:pStyle w:val="19"/>
        <w:numPr>
          <w:ilvl w:val="0"/>
          <w:numId w:val="0"/>
        </w:numPr>
        <w:tabs>
          <w:tab w:val="left" w:pos="0"/>
        </w:tabs>
        <w:spacing w:line="24" w:lineRule="atLeast"/>
        <w:ind w:leftChars="0"/>
        <w:rPr>
          <w:rFonts w:hint="default" w:ascii="Arial" w:hAnsi="Arial" w:cs="Arial" w:eastAsiaTheme="majorEastAsia"/>
          <w:b/>
          <w:bCs/>
          <w:lang w:val="en-US" w:eastAsia="pt-BR"/>
        </w:rPr>
      </w:pPr>
    </w:p>
    <w:p w14:paraId="1AD07B2D">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CLÁUSULA </w:t>
      </w:r>
      <w:r>
        <w:rPr>
          <w:rFonts w:hint="default" w:ascii="Arial" w:hAnsi="Arial" w:cs="Arial" w:eastAsiaTheme="majorEastAsia"/>
          <w:b/>
          <w:bCs/>
          <w:lang w:val="en-US" w:eastAsia="pt-BR"/>
        </w:rPr>
        <w:t>NONA</w:t>
      </w:r>
      <w:r>
        <w:rPr>
          <w:rFonts w:ascii="Arial" w:hAnsi="Arial" w:cs="Arial" w:eastAsiaTheme="majorEastAsia"/>
          <w:b/>
          <w:bCs/>
          <w:lang w:val="pt-BR" w:eastAsia="pt-BR"/>
        </w:rPr>
        <w:t xml:space="preserve"> - REAJUSTE (art. 92, V)</w:t>
      </w:r>
    </w:p>
    <w:p w14:paraId="4B12223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bCs/>
          <w:iCs/>
          <w:lang w:val="pt-BR"/>
        </w:rPr>
        <w:t xml:space="preserve">- </w:t>
      </w:r>
      <w:r>
        <w:rPr>
          <w:rFonts w:ascii="Arial" w:hAnsi="Arial" w:cs="Arial"/>
        </w:rPr>
        <w:t>Os</w:t>
      </w:r>
      <w:r>
        <w:rPr>
          <w:rFonts w:ascii="Arial" w:hAnsi="Arial" w:cs="Arial"/>
          <w:spacing w:val="-10"/>
        </w:rPr>
        <w:t xml:space="preserve"> </w:t>
      </w:r>
      <w:r>
        <w:rPr>
          <w:rFonts w:ascii="Arial" w:hAnsi="Arial" w:cs="Arial"/>
        </w:rPr>
        <w:t>preços</w:t>
      </w:r>
      <w:r>
        <w:rPr>
          <w:rFonts w:ascii="Arial" w:hAnsi="Arial" w:cs="Arial"/>
          <w:spacing w:val="-9"/>
        </w:rPr>
        <w:t xml:space="preserve"> </w:t>
      </w:r>
      <w:r>
        <w:rPr>
          <w:rFonts w:ascii="Arial" w:hAnsi="Arial" w:cs="Arial"/>
        </w:rPr>
        <w:t>que</w:t>
      </w:r>
      <w:r>
        <w:rPr>
          <w:rFonts w:ascii="Arial" w:hAnsi="Arial" w:cs="Arial"/>
          <w:spacing w:val="-8"/>
        </w:rPr>
        <w:t xml:space="preserve"> </w:t>
      </w:r>
      <w:r>
        <w:rPr>
          <w:rFonts w:ascii="Arial" w:hAnsi="Arial" w:cs="Arial"/>
        </w:rPr>
        <w:t>forem</w:t>
      </w:r>
      <w:r>
        <w:rPr>
          <w:rFonts w:ascii="Arial" w:hAnsi="Arial" w:cs="Arial"/>
          <w:spacing w:val="-8"/>
        </w:rPr>
        <w:t xml:space="preserve"> </w:t>
      </w:r>
      <w:r>
        <w:rPr>
          <w:rFonts w:ascii="Arial" w:hAnsi="Arial" w:cs="Arial"/>
        </w:rPr>
        <w:t>pactuados</w:t>
      </w:r>
      <w:r>
        <w:rPr>
          <w:rFonts w:ascii="Arial" w:hAnsi="Arial" w:cs="Arial"/>
          <w:spacing w:val="-9"/>
        </w:rPr>
        <w:t xml:space="preserve"> </w:t>
      </w:r>
      <w:r>
        <w:rPr>
          <w:rFonts w:ascii="Arial" w:hAnsi="Arial" w:cs="Arial"/>
        </w:rPr>
        <w:t>neste</w:t>
      </w:r>
      <w:r>
        <w:rPr>
          <w:rFonts w:ascii="Arial" w:hAnsi="Arial" w:cs="Arial"/>
          <w:spacing w:val="-7"/>
        </w:rPr>
        <w:t xml:space="preserve"> </w:t>
      </w:r>
      <w:r>
        <w:rPr>
          <w:rFonts w:ascii="Arial" w:hAnsi="Arial" w:cs="Arial"/>
        </w:rPr>
        <w:t>procedimento</w:t>
      </w:r>
      <w:r>
        <w:rPr>
          <w:rFonts w:ascii="Arial" w:hAnsi="Arial" w:cs="Arial"/>
          <w:spacing w:val="-8"/>
        </w:rPr>
        <w:t xml:space="preserve"> </w:t>
      </w:r>
      <w:r>
        <w:rPr>
          <w:rFonts w:ascii="Arial" w:hAnsi="Arial" w:cs="Arial"/>
        </w:rPr>
        <w:t>licitatório</w:t>
      </w:r>
      <w:r>
        <w:rPr>
          <w:rFonts w:ascii="Arial" w:hAnsi="Arial" w:cs="Arial"/>
          <w:spacing w:val="-8"/>
        </w:rPr>
        <w:t xml:space="preserve"> </w:t>
      </w:r>
      <w:r>
        <w:rPr>
          <w:rFonts w:ascii="Arial" w:hAnsi="Arial" w:cs="Arial"/>
        </w:rPr>
        <w:t>serão</w:t>
      </w:r>
      <w:r>
        <w:rPr>
          <w:rFonts w:ascii="Arial" w:hAnsi="Arial" w:cs="Arial"/>
          <w:spacing w:val="-7"/>
        </w:rPr>
        <w:t xml:space="preserve"> </w:t>
      </w:r>
      <w:r>
        <w:rPr>
          <w:rFonts w:ascii="Arial" w:hAnsi="Arial" w:cs="Arial"/>
          <w:spacing w:val="-2"/>
        </w:rPr>
        <w:t>irreajustáveis.</w:t>
      </w:r>
    </w:p>
    <w:p w14:paraId="11B8ADDF">
      <w:pPr>
        <w:pStyle w:val="19"/>
        <w:numPr>
          <w:ilvl w:val="1"/>
          <w:numId w:val="3"/>
        </w:numPr>
        <w:tabs>
          <w:tab w:val="left" w:pos="890"/>
        </w:tabs>
        <w:spacing w:before="0" w:line="24" w:lineRule="atLeast"/>
        <w:ind w:left="0" w:leftChars="0" w:right="126" w:firstLine="0" w:firstLineChars="0"/>
        <w:jc w:val="both"/>
        <w:rPr>
          <w:rFonts w:ascii="Arial" w:hAnsi="Arial" w:cs="Arial"/>
        </w:rPr>
      </w:pPr>
      <w:bookmarkStart w:id="5" w:name="_Hlk180505214"/>
      <w:r>
        <w:rPr>
          <w:rFonts w:ascii="Arial" w:hAnsi="Arial" w:cs="Arial"/>
        </w:rPr>
        <w:t>- Todavia, o contratado fará jus ao reajuste contratual anual, o qual terá como base a variação mensal acumulada do Índice Nacional da Construção Civil (INCC-DI), publicado pela Fundação Getúlio Vargas (FGV)</w:t>
      </w:r>
      <w:r>
        <w:rPr>
          <w:rFonts w:ascii="Arial" w:hAnsi="Arial" w:cs="Arial"/>
          <w:spacing w:val="17"/>
        </w:rPr>
        <w:t xml:space="preserve"> </w:t>
      </w:r>
      <w:r>
        <w:rPr>
          <w:rFonts w:ascii="Arial" w:hAnsi="Arial" w:cs="Arial"/>
        </w:rPr>
        <w:t>tendo a periodicidade anual do reajustamento data-base vinculada à data do orçamento estimado, na forma do art. 25,§7º c/c 92, §3°, da L. 14.133/2021, implementada na forma do art. 136, I, do mesmo diploma.</w:t>
      </w:r>
    </w:p>
    <w:p w14:paraId="74F2F576">
      <w:pPr>
        <w:pStyle w:val="19"/>
        <w:tabs>
          <w:tab w:val="left" w:pos="890"/>
        </w:tabs>
        <w:spacing w:before="0" w:line="24" w:lineRule="atLeast"/>
        <w:ind w:left="357" w:right="126"/>
        <w:jc w:val="both"/>
        <w:rPr>
          <w:rFonts w:ascii="Arial" w:hAnsi="Arial" w:cs="Arial"/>
        </w:rPr>
      </w:pPr>
    </w:p>
    <w:bookmarkEnd w:id="5"/>
    <w:p w14:paraId="27BFAB93">
      <w:pPr>
        <w:pStyle w:val="19"/>
        <w:numPr>
          <w:ilvl w:val="1"/>
          <w:numId w:val="3"/>
        </w:numPr>
        <w:tabs>
          <w:tab w:val="left" w:pos="899"/>
        </w:tabs>
        <w:spacing w:before="0" w:line="24" w:lineRule="atLeast"/>
        <w:ind w:left="0" w:leftChars="0" w:right="142" w:firstLine="0" w:firstLineChars="0"/>
        <w:jc w:val="both"/>
        <w:rPr>
          <w:rFonts w:ascii="Arial" w:hAnsi="Arial" w:cs="Arial"/>
        </w:rPr>
      </w:pPr>
      <w:r>
        <w:rPr>
          <w:rFonts w:ascii="Arial" w:hAnsi="Arial" w:cs="Arial"/>
        </w:rPr>
        <w:t>- A prorrogação de prazos a pedido da CONTRATADA, e sem culpa do CONTRATANTE ou devidamente justificado e aceito pela fiscalização, não enseja reajuste ou correção.</w:t>
      </w:r>
    </w:p>
    <w:p w14:paraId="7F25FC0B">
      <w:pPr>
        <w:pStyle w:val="19"/>
        <w:numPr>
          <w:ilvl w:val="1"/>
          <w:numId w:val="3"/>
        </w:numPr>
        <w:tabs>
          <w:tab w:val="left" w:pos="848"/>
        </w:tabs>
        <w:spacing w:before="244" w:line="24" w:lineRule="atLeast"/>
        <w:ind w:left="0" w:leftChars="0" w:firstLine="0" w:firstLineChars="0"/>
        <w:jc w:val="both"/>
        <w:rPr>
          <w:rFonts w:ascii="Arial" w:hAnsi="Arial" w:cs="Arial"/>
        </w:rPr>
      </w:pPr>
      <w:r>
        <w:rPr>
          <w:rFonts w:ascii="Arial" w:hAnsi="Arial" w:cs="Arial"/>
        </w:rPr>
        <w:t>- Será</w:t>
      </w:r>
      <w:r>
        <w:rPr>
          <w:rFonts w:ascii="Arial" w:hAnsi="Arial" w:cs="Arial"/>
          <w:spacing w:val="-6"/>
        </w:rPr>
        <w:t xml:space="preserve"> </w:t>
      </w:r>
      <w:r>
        <w:rPr>
          <w:rFonts w:ascii="Arial" w:hAnsi="Arial" w:cs="Arial"/>
        </w:rPr>
        <w:t>objeto</w:t>
      </w:r>
      <w:r>
        <w:rPr>
          <w:rFonts w:ascii="Arial" w:hAnsi="Arial" w:cs="Arial"/>
          <w:spacing w:val="-7"/>
        </w:rPr>
        <w:t xml:space="preserve"> </w:t>
      </w:r>
      <w:r>
        <w:rPr>
          <w:rFonts w:ascii="Arial" w:hAnsi="Arial" w:cs="Arial"/>
        </w:rPr>
        <w:t>de</w:t>
      </w:r>
      <w:r>
        <w:rPr>
          <w:rFonts w:ascii="Arial" w:hAnsi="Arial" w:cs="Arial"/>
          <w:spacing w:val="-7"/>
        </w:rPr>
        <w:t xml:space="preserve"> </w:t>
      </w:r>
      <w:r>
        <w:rPr>
          <w:rFonts w:ascii="Arial" w:hAnsi="Arial" w:cs="Arial"/>
        </w:rPr>
        <w:t>reajuste</w:t>
      </w:r>
      <w:r>
        <w:rPr>
          <w:rFonts w:ascii="Arial" w:hAnsi="Arial" w:cs="Arial"/>
          <w:spacing w:val="-6"/>
        </w:rPr>
        <w:t xml:space="preserve"> </w:t>
      </w:r>
      <w:r>
        <w:rPr>
          <w:rFonts w:ascii="Arial" w:hAnsi="Arial" w:cs="Arial"/>
        </w:rPr>
        <w:t>apenas</w:t>
      </w:r>
      <w:r>
        <w:rPr>
          <w:rFonts w:ascii="Arial" w:hAnsi="Arial" w:cs="Arial"/>
          <w:spacing w:val="-6"/>
        </w:rPr>
        <w:t xml:space="preserve"> </w:t>
      </w:r>
      <w:r>
        <w:rPr>
          <w:rFonts w:ascii="Arial" w:hAnsi="Arial" w:cs="Arial"/>
        </w:rPr>
        <w:t>o</w:t>
      </w:r>
      <w:r>
        <w:rPr>
          <w:rFonts w:ascii="Arial" w:hAnsi="Arial" w:cs="Arial"/>
          <w:spacing w:val="-7"/>
        </w:rPr>
        <w:t xml:space="preserve"> </w:t>
      </w:r>
      <w:r>
        <w:rPr>
          <w:rFonts w:ascii="Arial" w:hAnsi="Arial" w:cs="Arial"/>
        </w:rPr>
        <w:t>valor</w:t>
      </w:r>
      <w:r>
        <w:rPr>
          <w:rFonts w:ascii="Arial" w:hAnsi="Arial" w:cs="Arial"/>
          <w:spacing w:val="-6"/>
        </w:rPr>
        <w:t xml:space="preserve"> </w:t>
      </w:r>
      <w:r>
        <w:rPr>
          <w:rFonts w:ascii="Arial" w:hAnsi="Arial" w:cs="Arial"/>
        </w:rPr>
        <w:t>remanescente</w:t>
      </w:r>
      <w:r>
        <w:rPr>
          <w:rFonts w:ascii="Arial" w:hAnsi="Arial" w:cs="Arial"/>
          <w:spacing w:val="-7"/>
        </w:rPr>
        <w:t xml:space="preserve"> </w:t>
      </w:r>
      <w:r>
        <w:rPr>
          <w:rFonts w:ascii="Arial" w:hAnsi="Arial" w:cs="Arial"/>
        </w:rPr>
        <w:t>até</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data-base</w:t>
      </w:r>
      <w:r>
        <w:rPr>
          <w:rFonts w:ascii="Arial" w:hAnsi="Arial" w:cs="Arial"/>
          <w:spacing w:val="-6"/>
        </w:rPr>
        <w:t xml:space="preserve"> </w:t>
      </w:r>
      <w:r>
        <w:rPr>
          <w:rFonts w:ascii="Arial" w:hAnsi="Arial" w:cs="Arial"/>
        </w:rPr>
        <w:t>definida</w:t>
      </w:r>
      <w:r>
        <w:rPr>
          <w:rFonts w:ascii="Arial" w:hAnsi="Arial" w:cs="Arial"/>
          <w:spacing w:val="-6"/>
        </w:rPr>
        <w:t xml:space="preserve"> </w:t>
      </w:r>
      <w:r>
        <w:rPr>
          <w:rFonts w:ascii="Arial" w:hAnsi="Arial" w:cs="Arial"/>
        </w:rPr>
        <w:t>no</w:t>
      </w:r>
      <w:r>
        <w:rPr>
          <w:rFonts w:ascii="Arial" w:hAnsi="Arial" w:cs="Arial"/>
          <w:spacing w:val="-7"/>
        </w:rPr>
        <w:t xml:space="preserve"> </w:t>
      </w:r>
      <w:r>
        <w:rPr>
          <w:rFonts w:ascii="Arial" w:hAnsi="Arial" w:cs="Arial"/>
        </w:rPr>
        <w:t>item</w:t>
      </w:r>
      <w:r>
        <w:rPr>
          <w:rFonts w:ascii="Arial" w:hAnsi="Arial" w:cs="Arial"/>
          <w:spacing w:val="-6"/>
        </w:rPr>
        <w:t xml:space="preserve"> </w:t>
      </w:r>
      <w:r>
        <w:rPr>
          <w:rFonts w:ascii="Arial" w:hAnsi="Arial" w:cs="Arial"/>
          <w:spacing w:val="-2"/>
          <w:highlight w:val="none"/>
        </w:rPr>
        <w:t>12.2</w:t>
      </w:r>
      <w:r>
        <w:rPr>
          <w:rFonts w:ascii="Arial" w:hAnsi="Arial" w:cs="Arial"/>
          <w:spacing w:val="-2"/>
        </w:rPr>
        <w:t xml:space="preserve"> do Termo de Referência.</w:t>
      </w:r>
    </w:p>
    <w:p w14:paraId="6F43236F">
      <w:pPr>
        <w:pStyle w:val="19"/>
        <w:numPr>
          <w:ilvl w:val="1"/>
          <w:numId w:val="3"/>
        </w:numPr>
        <w:tabs>
          <w:tab w:val="left" w:pos="886"/>
        </w:tabs>
        <w:spacing w:before="243" w:line="24" w:lineRule="atLeast"/>
        <w:ind w:left="0" w:leftChars="0" w:right="142" w:firstLine="0" w:firstLineChars="0"/>
        <w:jc w:val="both"/>
        <w:rPr>
          <w:rFonts w:ascii="Arial" w:hAnsi="Arial" w:cs="Arial"/>
        </w:rPr>
      </w:pPr>
      <w:r>
        <w:rPr>
          <w:rFonts w:ascii="Arial" w:hAnsi="Arial" w:cs="Arial"/>
        </w:rPr>
        <w:t>- As partes convencionam que o prazo decadencial para o Contratado solicitar o pagamento do reajuste contratual, que deverá ser protocolizado na Unidade Protocoladora do órgão contratante, é de 90 (noventa) dias, contados da publicação do índice ajustado contratualmente, sob pena de decair o seu respectivo direito de crédito, nos termos do art. 211, do Código Civil.</w:t>
      </w:r>
    </w:p>
    <w:p w14:paraId="7DB359D3">
      <w:pPr>
        <w:pStyle w:val="19"/>
        <w:tabs>
          <w:tab w:val="left" w:pos="284"/>
        </w:tabs>
        <w:spacing w:line="24" w:lineRule="atLeast"/>
        <w:ind w:left="0"/>
        <w:rPr>
          <w:rFonts w:ascii="Arial" w:hAnsi="Arial" w:cs="Arial" w:eastAsiaTheme="majorEastAsia"/>
          <w:b/>
          <w:bCs/>
          <w:lang w:val="pt-BR" w:eastAsia="pt-BR"/>
        </w:rPr>
      </w:pPr>
    </w:p>
    <w:p w14:paraId="6489E145">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hint="default" w:ascii="Arial" w:hAnsi="Arial" w:cs="Arial" w:eastAsiaTheme="majorEastAsia"/>
          <w:b/>
          <w:bCs/>
          <w:lang w:val="en-US" w:eastAsia="pt-BR"/>
        </w:rPr>
        <w:t xml:space="preserve"> </w:t>
      </w:r>
      <w:r>
        <w:rPr>
          <w:rFonts w:ascii="Arial" w:hAnsi="Arial" w:cs="Arial" w:eastAsiaTheme="majorEastAsia"/>
          <w:b/>
          <w:bCs/>
          <w:lang w:val="pt-BR" w:eastAsia="pt-BR"/>
        </w:rPr>
        <w:t xml:space="preserve">CLÁUSULA </w:t>
      </w:r>
      <w:r>
        <w:rPr>
          <w:rFonts w:hint="default" w:ascii="Arial" w:hAnsi="Arial" w:cs="Arial" w:eastAsiaTheme="majorEastAsia"/>
          <w:b/>
          <w:bCs/>
          <w:lang w:val="en-US" w:eastAsia="pt-BR"/>
        </w:rPr>
        <w:t>DÉCIMA</w:t>
      </w:r>
      <w:r>
        <w:rPr>
          <w:rFonts w:ascii="Arial" w:hAnsi="Arial" w:cs="Arial" w:eastAsiaTheme="majorEastAsia"/>
          <w:b/>
          <w:bCs/>
          <w:lang w:val="pt-BR" w:eastAsia="pt-BR"/>
        </w:rPr>
        <w:t xml:space="preserve">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8940A62">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025EFDD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113BCE7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Receber o objeto no prazo e condições estabelecidas no Termo de Referência;</w:t>
      </w:r>
    </w:p>
    <w:p w14:paraId="3E6D2E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D91A85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7F35D8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E57FB1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0049065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C84EEA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2C5501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69E8A7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B33CFE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os emitentes das garantias quanto ao início de processo administrativo para apuração de descumprimento de cláusulas contratuais.</w:t>
      </w:r>
    </w:p>
    <w:p w14:paraId="1DBB996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40F7C42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C2CE28F">
      <w:pPr>
        <w:pStyle w:val="19"/>
        <w:widowControl/>
        <w:tabs>
          <w:tab w:val="left" w:pos="426"/>
        </w:tabs>
        <w:autoSpaceDE/>
        <w:autoSpaceDN/>
        <w:spacing w:before="120" w:after="120" w:line="24" w:lineRule="atLeast"/>
        <w:ind w:left="142"/>
        <w:jc w:val="both"/>
        <w:rPr>
          <w:rFonts w:ascii="Arial" w:hAnsi="Arial" w:cs="Arial"/>
          <w:bCs/>
          <w:iCs/>
          <w:lang w:val="pt-BR"/>
        </w:rPr>
      </w:pPr>
    </w:p>
    <w:p w14:paraId="60FC7259">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w:t>
      </w:r>
      <w:r>
        <w:rPr>
          <w:rFonts w:hint="default" w:ascii="Arial" w:hAnsi="Arial" w:cs="Arial" w:eastAsiaTheme="majorEastAsia"/>
          <w:b/>
          <w:bCs/>
          <w:lang w:val="en-US" w:eastAsia="pt-BR"/>
        </w:rPr>
        <w:t xml:space="preserve"> PRIMEIRA</w:t>
      </w:r>
      <w:r>
        <w:rPr>
          <w:rFonts w:ascii="Arial" w:hAnsi="Arial" w:cs="Arial" w:eastAsiaTheme="majorEastAsia"/>
          <w:b/>
          <w:bCs/>
          <w:lang w:val="pt-BR" w:eastAsia="pt-BR"/>
        </w:rPr>
        <w:t xml:space="preserve">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FBB9779">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6AAEE04F">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E0315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20D2572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4066975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3AC8971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C59D0F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CB315C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D57895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023DFB0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ED4C6A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3D6304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2B07712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578BEE8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E4BA9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27A6439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07CF28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447198C9">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FF2C23">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Manter durante toda a vigência do contrato, em compatibilidade com as obrigações assumidas, todas as condições exigidas para habilitação na licitação; </w:t>
      </w:r>
    </w:p>
    <w:p w14:paraId="5C4D21B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1614468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2E1532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93EB61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5DB499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38A24400">
      <w:pPr>
        <w:pStyle w:val="19"/>
        <w:widowControl/>
        <w:tabs>
          <w:tab w:val="left" w:pos="426"/>
        </w:tabs>
        <w:autoSpaceDE/>
        <w:autoSpaceDN/>
        <w:spacing w:before="120" w:after="120" w:line="24" w:lineRule="atLeast"/>
        <w:ind w:left="142"/>
        <w:jc w:val="both"/>
        <w:rPr>
          <w:rFonts w:ascii="Arial" w:hAnsi="Arial" w:cs="Arial"/>
          <w:bCs/>
          <w:iCs/>
          <w:lang w:val="pt-BR"/>
        </w:rPr>
      </w:pPr>
    </w:p>
    <w:p w14:paraId="4417854C">
      <w:pPr>
        <w:pStyle w:val="19"/>
        <w:numPr>
          <w:ilvl w:val="0"/>
          <w:numId w:val="3"/>
        </w:numPr>
        <w:tabs>
          <w:tab w:val="left" w:pos="284"/>
        </w:tabs>
        <w:spacing w:line="24" w:lineRule="atLeast"/>
        <w:ind w:left="0" w:firstLine="0"/>
        <w:rPr>
          <w:rFonts w:ascii="Arial" w:hAnsi="Arial" w:cs="Arial"/>
          <w:bCs/>
          <w:iCs/>
          <w:lang w:val="pt-BR"/>
        </w:rPr>
      </w:pPr>
      <w:r>
        <w:rPr>
          <w:rFonts w:ascii="Arial" w:hAnsi="Arial" w:cs="Arial" w:eastAsiaTheme="majorEastAsia"/>
          <w:b/>
          <w:bCs/>
          <w:lang w:val="pt-BR" w:eastAsia="pt-BR"/>
        </w:rPr>
        <w:t xml:space="preserve">  CLÁUSULA DÉCIMA </w:t>
      </w:r>
      <w:r>
        <w:rPr>
          <w:rFonts w:hint="default" w:ascii="Arial" w:hAnsi="Arial" w:cs="Arial" w:eastAsiaTheme="majorEastAsia"/>
          <w:b/>
          <w:bCs/>
          <w:lang w:val="en-US" w:eastAsia="pt-BR"/>
        </w:rPr>
        <w:t>SEGUNDA</w:t>
      </w:r>
      <w:r>
        <w:rPr>
          <w:rFonts w:ascii="Arial" w:hAnsi="Arial" w:cs="Arial" w:eastAsiaTheme="majorEastAsia"/>
          <w:b/>
          <w:bCs/>
          <w:lang w:val="pt-BR" w:eastAsia="pt-BR"/>
        </w:rPr>
        <w:t>– GARANTIA DE EXECUÇÃO (art. 92, XII)</w:t>
      </w:r>
    </w:p>
    <w:p w14:paraId="55619185">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prazo de garantia contratual dos serviços será de 05 anos, contados a partir do primeiro dia útil subsequente à data do recebimento definitivo do objeto, na forma do art. 618 do Código Civil.</w:t>
      </w:r>
    </w:p>
    <w:p w14:paraId="1B187E26">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lang w:val="pt-BR"/>
        </w:rPr>
      </w:pPr>
      <w:r>
        <w:rPr>
          <w:rFonts w:ascii="Arial" w:hAnsi="Arial" w:cs="Arial"/>
          <w:bCs/>
          <w:iCs/>
          <w:lang w:val="pt-BR"/>
        </w:rPr>
        <w:t xml:space="preserve">A contratação conta com garantia de execução, nos moldes do </w:t>
      </w:r>
      <w:r>
        <w:fldChar w:fldCharType="begin"/>
      </w:r>
      <w:r>
        <w:instrText xml:space="preserve"> HYPERLINK "http://www.planalto.gov.br/ccivil_03/_ato2019-2022/2021/lei/L14133.htm" \l "art96" </w:instrText>
      </w:r>
      <w:r>
        <w:fldChar w:fldCharType="separate"/>
      </w:r>
      <w:r>
        <w:rPr>
          <w:rFonts w:ascii="Arial" w:hAnsi="Arial" w:cs="Arial"/>
          <w:bCs/>
          <w:iCs/>
          <w:lang w:val="pt-BR"/>
        </w:rPr>
        <w:t>art. 96 da Lei nº 14.133</w:t>
      </w:r>
      <w:r>
        <w:rPr>
          <w:rFonts w:ascii="Arial" w:hAnsi="Arial" w:cs="Arial"/>
          <w:bCs/>
          <w:iCs/>
          <w:lang w:val="pt-BR"/>
        </w:rPr>
        <w:fldChar w:fldCharType="end"/>
      </w:r>
      <w:r>
        <w:rPr>
          <w:rFonts w:ascii="Arial" w:hAnsi="Arial" w:cs="Arial"/>
          <w:bCs/>
          <w:iCs/>
          <w:lang w:val="pt-BR"/>
        </w:rPr>
        <w:t>, de 2021, na modalidade CONCORRÊNCIA ELETRÔNICA, em valor correspondente a 5% (cinco por cento) do valor inicial/total/anual do contrato.</w:t>
      </w:r>
    </w:p>
    <w:p w14:paraId="15AC41B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C60B42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Seguro-garantia; </w:t>
      </w:r>
    </w:p>
    <w:p w14:paraId="74EC5DB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Fiança bancária emitida por banco ou instituição financeira devidamente autorizada a operar no País pelo Banco Central do Brasil. </w:t>
      </w:r>
    </w:p>
    <w:p w14:paraId="2AD400A3">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Título de capitalização custeado por pagamento único, com resgate pelo valor total. </w:t>
      </w:r>
    </w:p>
    <w:p w14:paraId="59C2E96C">
      <w:pPr>
        <w:pStyle w:val="19"/>
        <w:widowControl/>
        <w:numPr>
          <w:ilvl w:val="0"/>
          <w:numId w:val="0"/>
        </w:numPr>
        <w:tabs>
          <w:tab w:val="left" w:pos="426"/>
        </w:tabs>
        <w:autoSpaceDE/>
        <w:autoSpaceDN/>
        <w:spacing w:before="120" w:after="120" w:line="24" w:lineRule="atLeast"/>
        <w:ind w:left="142" w:leftChars="0"/>
        <w:jc w:val="both"/>
        <w:rPr>
          <w:rFonts w:ascii="Arial" w:hAnsi="Arial" w:cs="Arial"/>
          <w:bCs/>
          <w:iCs/>
          <w:lang w:val="pt-BR"/>
        </w:rPr>
      </w:pPr>
    </w:p>
    <w:p w14:paraId="222927E3">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hint="default" w:ascii="Arial" w:hAnsi="Arial" w:cs="Arial" w:eastAsiaTheme="majorEastAsia"/>
          <w:b/>
          <w:bCs/>
          <w:lang w:val="en-US" w:eastAsia="pt-BR"/>
        </w:rPr>
        <w:t xml:space="preserve">  </w:t>
      </w:r>
      <w:r>
        <w:rPr>
          <w:rFonts w:ascii="Arial" w:hAnsi="Arial" w:cs="Arial" w:eastAsiaTheme="majorEastAsia"/>
          <w:b/>
          <w:bCs/>
          <w:lang w:val="pt-BR" w:eastAsia="pt-BR"/>
        </w:rPr>
        <w:t xml:space="preserve">CLÁUSULA DÉCIMA </w:t>
      </w:r>
      <w:r>
        <w:rPr>
          <w:rFonts w:hint="default" w:ascii="Arial" w:hAnsi="Arial" w:cs="Arial" w:eastAsiaTheme="majorEastAsia"/>
          <w:b/>
          <w:bCs/>
          <w:lang w:val="en-US" w:eastAsia="pt-BR"/>
        </w:rPr>
        <w:t>TERCEIRA</w:t>
      </w:r>
      <w:r>
        <w:rPr>
          <w:rFonts w:ascii="Arial" w:hAnsi="Arial" w:cs="Arial" w:eastAsiaTheme="majorEastAsia"/>
          <w:b/>
          <w:bCs/>
          <w:lang w:val="pt-BR" w:eastAsia="pt-BR"/>
        </w:rPr>
        <w:t xml:space="preserve">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FEBEB8F">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8B89A5A">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w:t>
      </w:r>
    </w:p>
    <w:p w14:paraId="1D063A86">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12FFF9A1">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total do contrato;</w:t>
      </w:r>
    </w:p>
    <w:p w14:paraId="01184BE4">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C24185C">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FC7538C">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praticar ato fraudulento na execução do contrato;</w:t>
      </w:r>
    </w:p>
    <w:p w14:paraId="0CDCE3D6">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comportar-se de modo inidôneo ou cometer fraude de qualquer natureza;</w:t>
      </w:r>
    </w:p>
    <w:p w14:paraId="111D4CE5">
      <w:pPr>
        <w:widowControl/>
        <w:numPr>
          <w:ilvl w:val="2"/>
          <w:numId w:val="4"/>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2C1B953E">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9393584">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14:paraId="62C6DDCF">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0238300F">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986B78">
      <w:pPr>
        <w:pStyle w:val="19"/>
        <w:widowControl/>
        <w:numPr>
          <w:ilvl w:val="0"/>
          <w:numId w:val="5"/>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Multa:</w:t>
      </w:r>
    </w:p>
    <w:p w14:paraId="325FA108">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9B1707F">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(cinco décimos por cento) por dia de atraso injustificado sobre o valor total do contrato, até o máximo de 10% (dez por cento), pela inobservância do prazo fixado para apresentação, suplementação ou reposição da garantia.</w:t>
      </w:r>
    </w:p>
    <w:p w14:paraId="473581A4">
      <w:pPr>
        <w:pStyle w:val="19"/>
        <w:widowControl/>
        <w:numPr>
          <w:ilvl w:val="2"/>
          <w:numId w:val="5"/>
        </w:numPr>
        <w:suppressAutoHyphens/>
        <w:autoSpaceDE/>
        <w:autoSpaceDN/>
        <w:spacing w:before="120" w:after="120" w:line="24" w:lineRule="atLeast"/>
        <w:ind w:left="851" w:firstLine="0"/>
        <w:contextualSpacing/>
        <w:jc w:val="both"/>
        <w:rPr>
          <w:rFonts w:ascii="Arial" w:hAnsi="Arial" w:eastAsia="Arial" w:cs="Arial"/>
        </w:rPr>
      </w:pPr>
      <w:r>
        <w:rPr>
          <w:rFonts w:ascii="Arial" w:hAnsi="Arial" w:eastAsia="Arial" w:cs="Arial"/>
        </w:rPr>
        <w:t xml:space="preserve">O atraso superior a 20 (vinte) dias autoriza a Administração a promover a extinção do contrato por descumprimento ou cumprimento irregular de suas cláusulas, conforme dispõe o inciso I do art. 137 da Lei n. 14.133, de 2021. </w:t>
      </w:r>
    </w:p>
    <w:p w14:paraId="6ABB51AF">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2F399000">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4E561948">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5814AB5B">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2BFEB7D9">
      <w:pPr>
        <w:pStyle w:val="19"/>
        <w:widowControl/>
        <w:numPr>
          <w:ilvl w:val="1"/>
          <w:numId w:val="5"/>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65DFC7FC">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55080BAD">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0B4D2BA">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2404EC1C">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BE2AD09">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72151B51">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2EC5E5BE">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90B727A">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natureza e a gravidade da infração cometida;</w:t>
      </w:r>
    </w:p>
    <w:p w14:paraId="4733A4F6">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peculiaridades do caso concreto;</w:t>
      </w:r>
    </w:p>
    <w:p w14:paraId="234C47E9">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circunstâncias agravantes ou atenuantes;</w:t>
      </w:r>
    </w:p>
    <w:p w14:paraId="406F879E">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os danos que dela provierem para o Contratante;</w:t>
      </w:r>
    </w:p>
    <w:p w14:paraId="11B2874D">
      <w:pPr>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08FD52B8">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795B03BA">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33AB0130">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425969C6">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B3BBAE0">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3D7D1D6F">
      <w:pPr>
        <w:pStyle w:val="19"/>
        <w:widowControl/>
        <w:tabs>
          <w:tab w:val="left" w:pos="426"/>
        </w:tabs>
        <w:autoSpaceDE/>
        <w:autoSpaceDN/>
        <w:spacing w:before="120" w:after="120" w:line="24" w:lineRule="atLeast"/>
        <w:ind w:left="0"/>
        <w:jc w:val="both"/>
        <w:rPr>
          <w:rFonts w:ascii="Arial" w:hAnsi="Arial" w:cs="Arial"/>
        </w:rPr>
      </w:pPr>
    </w:p>
    <w:p w14:paraId="03DF011F">
      <w:pPr>
        <w:pStyle w:val="19"/>
        <w:numPr>
          <w:ilvl w:val="0"/>
          <w:numId w:val="3"/>
        </w:numPr>
        <w:tabs>
          <w:tab w:val="left" w:pos="284"/>
        </w:tabs>
        <w:spacing w:line="24" w:lineRule="atLeast"/>
        <w:ind w:left="0" w:firstLine="0"/>
        <w:rPr>
          <w:rFonts w:ascii="Arial" w:hAnsi="Arial" w:cs="Arial"/>
          <w:b/>
          <w:bCs/>
        </w:rPr>
      </w:pPr>
      <w:r>
        <w:rPr>
          <w:rFonts w:ascii="Arial" w:hAnsi="Arial" w:cs="Arial"/>
          <w:b/>
          <w:bCs/>
          <w:sz w:val="22"/>
          <w:szCs w:val="22"/>
        </w:rPr>
        <w:t xml:space="preserve">   CLÁUSULA DÉCIMA </w:t>
      </w:r>
      <w:r>
        <w:rPr>
          <w:rFonts w:hint="default" w:ascii="Arial" w:hAnsi="Arial" w:cs="Arial"/>
          <w:b/>
          <w:bCs/>
          <w:sz w:val="22"/>
          <w:szCs w:val="22"/>
          <w:lang w:val="pt-BR"/>
        </w:rPr>
        <w:t>QUARTA</w:t>
      </w:r>
      <w:r>
        <w:rPr>
          <w:rFonts w:ascii="Arial" w:hAnsi="Arial" w:cs="Arial"/>
          <w:b/>
          <w:bCs/>
          <w:sz w:val="22"/>
          <w:szCs w:val="22"/>
        </w:rPr>
        <w:t xml:space="preserve"> – DA EXTINÇÃO CONTRATUAL</w:t>
      </w:r>
      <w:r>
        <w:rPr>
          <w:rFonts w:ascii="Arial" w:hAnsi="Arial" w:cs="Arial"/>
          <w:b/>
          <w:bCs/>
        </w:rPr>
        <w:t xml:space="preserve"> (</w:t>
      </w:r>
      <w:r>
        <w:rPr>
          <w:b/>
          <w:bCs/>
        </w:rPr>
        <w:fldChar w:fldCharType="begin"/>
      </w:r>
      <w:r>
        <w:rPr>
          <w:b/>
          <w:bCs/>
        </w:rPr>
        <w:instrText xml:space="preserve"> HYPERLINK "http://www.planalto.gov.br/ccivil_03/_ato2019-2022/2021/lei/L14133.htm" \l "art92" </w:instrText>
      </w:r>
      <w:r>
        <w:rPr>
          <w:b/>
          <w:bCs/>
        </w:rPr>
        <w:fldChar w:fldCharType="separate"/>
      </w:r>
      <w:r>
        <w:rPr>
          <w:rStyle w:val="9"/>
          <w:rFonts w:ascii="Arial" w:hAnsi="Arial" w:cs="Arial"/>
          <w:b/>
          <w:bCs/>
        </w:rPr>
        <w:t>art. 92, XIX</w:t>
      </w:r>
      <w:r>
        <w:rPr>
          <w:rStyle w:val="9"/>
          <w:rFonts w:ascii="Arial" w:hAnsi="Arial" w:cs="Arial"/>
          <w:b/>
          <w:bCs/>
        </w:rPr>
        <w:fldChar w:fldCharType="end"/>
      </w:r>
      <w:r>
        <w:rPr>
          <w:rFonts w:ascii="Arial" w:hAnsi="Arial" w:cs="Arial"/>
          <w:b/>
          <w:bCs/>
        </w:rPr>
        <w:t xml:space="preserve">) </w:t>
      </w:r>
    </w:p>
    <w:p w14:paraId="1D3AB4E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inorEastAsia"/>
          <w:sz w:val="20"/>
          <w:szCs w:val="20"/>
          <w:lang w:val="pt-BR" w:eastAsia="pt-BR"/>
        </w:rPr>
      </w:pPr>
      <w:r>
        <w:rPr>
          <w:rFonts w:hint="default" w:ascii="Arial" w:hAnsi="Arial" w:cs="Arial"/>
          <w:lang w:val="pt-BR"/>
        </w:rPr>
        <w:t xml:space="preserve"> </w:t>
      </w:r>
      <w:r>
        <w:rPr>
          <w:rFonts w:ascii="Arial" w:hAnsi="Arial" w:cs="Arial"/>
        </w:rPr>
        <w:t>O contrato será extinto quando cumpridas as obrigações de ambas as partes, ainda que isso ocorra antes do prazo estipulado para tanto.</w:t>
      </w:r>
    </w:p>
    <w:p w14:paraId="703B46C1">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D163A79">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Quando a não conclusão do contrato referida no item anterior decorrer de culpa do contratado:</w:t>
      </w:r>
    </w:p>
    <w:p w14:paraId="48CDFE36">
      <w:pPr>
        <w:pStyle w:val="19"/>
        <w:widowControl/>
        <w:numPr>
          <w:ilvl w:val="1"/>
          <w:numId w:val="7"/>
        </w:numPr>
        <w:tabs>
          <w:tab w:val="left" w:pos="426"/>
        </w:tabs>
        <w:autoSpaceDE/>
        <w:autoSpaceDN/>
        <w:spacing w:before="120" w:after="120" w:line="24" w:lineRule="atLeast"/>
        <w:ind w:left="709"/>
        <w:jc w:val="both"/>
        <w:rPr>
          <w:rFonts w:ascii="Arial" w:hAnsi="Arial" w:cs="Arial"/>
        </w:rPr>
      </w:pPr>
      <w:r>
        <w:rPr>
          <w:rFonts w:ascii="Arial" w:hAnsi="Arial" w:cs="Arial"/>
        </w:rPr>
        <w:t xml:space="preserve">ficará ele constituído em mora, sendo-lhe aplicáveis as respectivas sanções administrativas; e  </w:t>
      </w:r>
    </w:p>
    <w:p w14:paraId="219E37AF">
      <w:pPr>
        <w:pStyle w:val="19"/>
        <w:widowControl/>
        <w:numPr>
          <w:ilvl w:val="1"/>
          <w:numId w:val="7"/>
        </w:numPr>
        <w:tabs>
          <w:tab w:val="left" w:pos="426"/>
        </w:tabs>
        <w:autoSpaceDE/>
        <w:autoSpaceDN/>
        <w:spacing w:before="120" w:after="120" w:line="24" w:lineRule="atLeast"/>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4DCAF4CA">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E1DB668">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54EBA97E">
      <w:pPr>
        <w:pStyle w:val="19"/>
        <w:widowControl/>
        <w:numPr>
          <w:ilvl w:val="2"/>
          <w:numId w:val="3"/>
        </w:numPr>
        <w:tabs>
          <w:tab w:val="left" w:pos="426"/>
        </w:tabs>
        <w:autoSpaceDE/>
        <w:autoSpaceDN/>
        <w:spacing w:before="120" w:after="120" w:line="24" w:lineRule="atLeast"/>
        <w:jc w:val="both"/>
        <w:rPr>
          <w:rFonts w:ascii="Arial" w:hAnsi="Arial" w:cs="Arial"/>
        </w:rPr>
      </w:pPr>
      <w:r>
        <w:rPr>
          <w:rFonts w:hint="default" w:ascii="Arial" w:hAnsi="Arial" w:cs="Arial"/>
          <w:lang w:val="pt-BR"/>
        </w:rPr>
        <w:t xml:space="preserve">  </w:t>
      </w:r>
      <w:r>
        <w:rPr>
          <w:rFonts w:ascii="Arial" w:hAnsi="Arial" w:cs="Arial"/>
        </w:rPr>
        <w:t>A alteração social ou a modificação da finalidade ou da estrutura da empresa não ensejará a extinção se não restringir sua capacidade de concluir o contrato.</w:t>
      </w:r>
    </w:p>
    <w:p w14:paraId="6FD22E66">
      <w:pPr>
        <w:pStyle w:val="19"/>
        <w:widowControl/>
        <w:numPr>
          <w:ilvl w:val="2"/>
          <w:numId w:val="3"/>
        </w:numPr>
        <w:tabs>
          <w:tab w:val="left" w:pos="426"/>
        </w:tabs>
        <w:autoSpaceDE/>
        <w:autoSpaceDN/>
        <w:spacing w:before="120" w:after="120" w:line="24" w:lineRule="atLeast"/>
        <w:jc w:val="both"/>
        <w:rPr>
          <w:rFonts w:ascii="Arial" w:hAnsi="Arial" w:cs="Arial"/>
        </w:rPr>
      </w:pPr>
      <w:r>
        <w:rPr>
          <w:rFonts w:hint="default" w:ascii="Arial" w:hAnsi="Arial" w:cs="Arial"/>
          <w:color w:val="000000" w:themeColor="text1"/>
          <w:lang w:val="pt-BR"/>
          <w14:textFill>
            <w14:solidFill>
              <w14:schemeClr w14:val="tx1"/>
            </w14:solidFill>
          </w14:textFill>
        </w:rPr>
        <w:t xml:space="preserve">  </w:t>
      </w: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6D4AE0E9">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O termo de extinção, sempre que possível, será precedido:</w:t>
      </w:r>
    </w:p>
    <w:p w14:paraId="6CA32D2C">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Balanço dos eventos contratuais já cumpridos ou parcialmente cumpridos;</w:t>
      </w:r>
    </w:p>
    <w:p w14:paraId="4B08EBCB">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Relação dos pagamentos já efetuados e ainda devidos;</w:t>
      </w:r>
    </w:p>
    <w:p w14:paraId="304A997F">
      <w:pPr>
        <w:pStyle w:val="19"/>
        <w:widowControl/>
        <w:numPr>
          <w:ilvl w:val="2"/>
          <w:numId w:val="3"/>
        </w:numPr>
        <w:tabs>
          <w:tab w:val="left" w:pos="426"/>
        </w:tabs>
        <w:autoSpaceDE/>
        <w:autoSpaceDN/>
        <w:spacing w:before="120" w:after="120" w:line="24" w:lineRule="atLeast"/>
        <w:jc w:val="both"/>
        <w:rPr>
          <w:rFonts w:ascii="Arial" w:hAnsi="Arial" w:cs="Arial"/>
        </w:rPr>
      </w:pPr>
      <w:r>
        <w:rPr>
          <w:rFonts w:ascii="Arial" w:hAnsi="Arial" w:cs="Arial"/>
        </w:rPr>
        <w:t>Indenizações e multas.</w:t>
      </w:r>
    </w:p>
    <w:p w14:paraId="38EF734E">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55274CD4">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C7F3EC2">
      <w:pPr>
        <w:pStyle w:val="19"/>
        <w:widowControl/>
        <w:numPr>
          <w:ilvl w:val="0"/>
          <w:numId w:val="0"/>
        </w:numPr>
        <w:tabs>
          <w:tab w:val="left" w:pos="426"/>
        </w:tabs>
        <w:autoSpaceDE/>
        <w:autoSpaceDN/>
        <w:spacing w:before="120" w:after="120" w:line="24" w:lineRule="atLeast"/>
        <w:ind w:leftChars="0"/>
        <w:jc w:val="both"/>
        <w:rPr>
          <w:rFonts w:ascii="Arial" w:hAnsi="Arial" w:cs="Arial"/>
          <w:b/>
          <w:bCs/>
        </w:rPr>
      </w:pPr>
    </w:p>
    <w:p w14:paraId="5FBB4485">
      <w:pPr>
        <w:pStyle w:val="19"/>
        <w:numPr>
          <w:ilvl w:val="0"/>
          <w:numId w:val="3"/>
        </w:numPr>
        <w:tabs>
          <w:tab w:val="left" w:pos="284"/>
        </w:tabs>
        <w:spacing w:line="24" w:lineRule="atLeast"/>
        <w:ind w:left="0" w:firstLine="0"/>
        <w:rPr>
          <w:rFonts w:ascii="Arial" w:hAnsi="Arial" w:cs="Arial"/>
          <w:b/>
          <w:bCs/>
        </w:rPr>
      </w:pPr>
      <w:r>
        <w:rPr>
          <w:rFonts w:ascii="Arial" w:hAnsi="Arial" w:cs="Arial"/>
          <w:b/>
          <w:bCs/>
          <w:sz w:val="22"/>
          <w:szCs w:val="22"/>
        </w:rPr>
        <w:t xml:space="preserve">  CLÁUSULA DÉCIMA </w:t>
      </w:r>
      <w:r>
        <w:rPr>
          <w:rFonts w:hint="default" w:ascii="Arial" w:hAnsi="Arial" w:cs="Arial"/>
          <w:b/>
          <w:bCs/>
          <w:sz w:val="22"/>
          <w:szCs w:val="22"/>
          <w:lang w:val="pt-BR"/>
        </w:rPr>
        <w:t>QUINTA</w:t>
      </w:r>
      <w:r>
        <w:rPr>
          <w:rFonts w:ascii="Arial" w:hAnsi="Arial" w:cs="Arial"/>
          <w:b/>
          <w:bCs/>
          <w:sz w:val="22"/>
          <w:szCs w:val="22"/>
        </w:rPr>
        <w:t xml:space="preserve"> – DOTAÇÃO ORÇAMENTÁRIA</w:t>
      </w:r>
      <w:r>
        <w:rPr>
          <w:rFonts w:ascii="Arial" w:hAnsi="Arial" w:cs="Arial"/>
          <w:b/>
          <w:bCs/>
        </w:rPr>
        <w:t xml:space="preserve"> </w:t>
      </w:r>
      <w:r>
        <w:rPr>
          <w:rFonts w:ascii="Arial" w:hAnsi="Arial" w:cs="Arial"/>
          <w:b/>
          <w:bCs/>
          <w:sz w:val="22"/>
          <w:szCs w:val="22"/>
        </w:rPr>
        <w:t>(</w:t>
      </w:r>
      <w:r>
        <w:rPr>
          <w:b/>
          <w:bCs/>
        </w:rPr>
        <w:fldChar w:fldCharType="begin"/>
      </w:r>
      <w:r>
        <w:rPr>
          <w:b/>
          <w:bCs/>
        </w:rPr>
        <w:instrText xml:space="preserve"> HYPERLINK "http://www.planalto.gov.br/ccivil_03/_ato2019-2022/2021/lei/L14133.htm" \l "art92" </w:instrText>
      </w:r>
      <w:r>
        <w:rPr>
          <w:b/>
          <w:bCs/>
        </w:rPr>
        <w:fldChar w:fldCharType="separate"/>
      </w:r>
      <w:r>
        <w:rPr>
          <w:rStyle w:val="9"/>
          <w:rFonts w:ascii="Arial" w:hAnsi="Arial" w:cs="Arial"/>
          <w:b/>
          <w:bCs/>
          <w:sz w:val="22"/>
          <w:szCs w:val="22"/>
        </w:rPr>
        <w:t>art. 92, VIII</w:t>
      </w:r>
      <w:r>
        <w:rPr>
          <w:rStyle w:val="9"/>
          <w:rFonts w:ascii="Arial" w:hAnsi="Arial" w:cs="Arial"/>
          <w:b/>
          <w:bCs/>
          <w:sz w:val="22"/>
          <w:szCs w:val="22"/>
        </w:rPr>
        <w:fldChar w:fldCharType="end"/>
      </w:r>
      <w:r>
        <w:rPr>
          <w:rFonts w:ascii="Arial" w:hAnsi="Arial" w:cs="Arial"/>
          <w:b/>
          <w:bCs/>
          <w:sz w:val="22"/>
          <w:szCs w:val="22"/>
        </w:rPr>
        <w:t>)</w:t>
      </w:r>
    </w:p>
    <w:p w14:paraId="2E40848C">
      <w:pPr>
        <w:pStyle w:val="19"/>
        <w:widowControl/>
        <w:numPr>
          <w:ilvl w:val="1"/>
          <w:numId w:val="3"/>
        </w:numPr>
        <w:tabs>
          <w:tab w:val="left" w:pos="426"/>
        </w:tabs>
        <w:autoSpaceDE/>
        <w:autoSpaceDN/>
        <w:spacing w:before="120" w:after="120" w:line="24" w:lineRule="atLeast"/>
        <w:ind w:left="0" w:firstLine="0"/>
        <w:jc w:val="both"/>
        <w:rPr>
          <w:rFonts w:ascii="Arial" w:hAnsi="Arial" w:cs="Arial"/>
          <w:lang w:val="pt-BR"/>
        </w:rPr>
      </w:pPr>
      <w:r>
        <w:rPr>
          <w:rFonts w:ascii="Arial" w:hAnsi="Arial" w:cs="Arial"/>
          <w:lang w:val="pt-BR"/>
        </w:rPr>
        <w:t>As despesas decorrentes da presente contratação correrão à conta de recursos específicos consignados no Orçamento do Município deste exercício, na dotação abaixo discriminada:</w:t>
      </w:r>
    </w:p>
    <w:p w14:paraId="7C29CDB7">
      <w:pPr>
        <w:pStyle w:val="19"/>
        <w:tabs>
          <w:tab w:val="left" w:pos="426"/>
        </w:tabs>
        <w:spacing w:line="24" w:lineRule="atLeast"/>
        <w:ind w:left="0"/>
        <w:jc w:val="both"/>
        <w:rPr>
          <w:rFonts w:ascii="Arial" w:hAnsi="Arial" w:cs="Arial"/>
          <w:lang w:val="pt-BR"/>
        </w:rPr>
      </w:pPr>
    </w:p>
    <w:tbl>
      <w:tblPr>
        <w:tblStyle w:val="6"/>
        <w:tblW w:w="8872" w:type="dxa"/>
        <w:tblInd w:w="197" w:type="dxa"/>
        <w:tblLayout w:type="fixed"/>
        <w:tblCellMar>
          <w:top w:w="55" w:type="dxa"/>
          <w:left w:w="55" w:type="dxa"/>
          <w:bottom w:w="55" w:type="dxa"/>
          <w:right w:w="55" w:type="dxa"/>
        </w:tblCellMar>
      </w:tblPr>
      <w:tblGrid>
        <w:gridCol w:w="4677"/>
        <w:gridCol w:w="4195"/>
      </w:tblGrid>
      <w:tr w14:paraId="144EDCA1">
        <w:tblPrEx>
          <w:tblCellMar>
            <w:top w:w="55" w:type="dxa"/>
            <w:left w:w="55" w:type="dxa"/>
            <w:bottom w:w="55" w:type="dxa"/>
            <w:right w:w="55" w:type="dxa"/>
          </w:tblCellMar>
        </w:tblPrEx>
        <w:tc>
          <w:tcPr>
            <w:tcW w:w="4677" w:type="dxa"/>
            <w:tcBorders>
              <w:top w:val="single" w:color="000000" w:sz="2" w:space="0"/>
              <w:left w:val="single" w:color="000000" w:sz="2" w:space="0"/>
              <w:bottom w:val="single" w:color="000000" w:sz="2" w:space="0"/>
            </w:tcBorders>
          </w:tcPr>
          <w:p w14:paraId="6AC5E408">
            <w:pPr>
              <w:spacing w:line="24" w:lineRule="atLeast"/>
              <w:jc w:val="both"/>
              <w:rPr>
                <w:rFonts w:ascii="Arial" w:hAnsi="Arial" w:cs="Arial"/>
                <w:b/>
                <w:bCs/>
                <w:szCs w:val="24"/>
              </w:rPr>
            </w:pPr>
            <w:r>
              <w:rPr>
                <w:rFonts w:ascii="Arial" w:hAnsi="Arial" w:cs="Arial"/>
                <w:b/>
                <w:bCs/>
                <w:szCs w:val="24"/>
              </w:rPr>
              <w:t>GESTÃO / UNIDADE</w:t>
            </w:r>
          </w:p>
        </w:tc>
        <w:tc>
          <w:tcPr>
            <w:tcW w:w="4195" w:type="dxa"/>
            <w:tcBorders>
              <w:top w:val="single" w:color="000000" w:sz="2" w:space="0"/>
              <w:left w:val="single" w:color="000000" w:sz="2" w:space="0"/>
              <w:bottom w:val="single" w:color="000000" w:sz="2" w:space="0"/>
              <w:right w:val="single" w:color="000000" w:sz="2" w:space="0"/>
            </w:tcBorders>
          </w:tcPr>
          <w:p w14:paraId="44C9FF2B">
            <w:pPr>
              <w:widowControl/>
              <w:autoSpaceDE/>
              <w:autoSpaceDN/>
              <w:spacing w:line="24" w:lineRule="atLeast"/>
              <w:rPr>
                <w:rFonts w:hint="default" w:ascii="Arial" w:hAnsi="Arial" w:eastAsia="Times New Roman" w:cs="Arial"/>
                <w:sz w:val="22"/>
                <w:szCs w:val="22"/>
                <w:highlight w:val="yellow"/>
                <w:lang w:val="pt-BR" w:eastAsia="pt-BR"/>
              </w:rPr>
            </w:pPr>
            <w:r>
              <w:rPr>
                <w:rFonts w:hint="default" w:ascii="Arial" w:hAnsi="Arial" w:eastAsia="SimSun" w:cs="Arial"/>
                <w:b/>
                <w:bCs/>
                <w:i w:val="0"/>
                <w:iCs w:val="0"/>
                <w:color w:val="000000"/>
                <w:sz w:val="22"/>
                <w:szCs w:val="22"/>
              </w:rPr>
              <w:t>Secretaria de Educação</w:t>
            </w:r>
            <w:r>
              <w:rPr>
                <w:rFonts w:hint="default" w:ascii="Arial" w:hAnsi="Arial" w:eastAsia="SimSun" w:cs="Arial"/>
                <w:sz w:val="22"/>
                <w:szCs w:val="22"/>
              </w:rPr>
              <w:t xml:space="preserve"> </w:t>
            </w:r>
          </w:p>
        </w:tc>
      </w:tr>
      <w:tr w14:paraId="685383A5">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072D552">
            <w:pPr>
              <w:spacing w:line="24" w:lineRule="atLeast"/>
              <w:jc w:val="both"/>
              <w:rPr>
                <w:rFonts w:ascii="Arial" w:hAnsi="Arial" w:cs="Arial"/>
                <w:b/>
                <w:bCs/>
                <w:szCs w:val="24"/>
              </w:rPr>
            </w:pPr>
            <w:r>
              <w:rPr>
                <w:rFonts w:ascii="Arial" w:hAnsi="Arial" w:cs="Arial"/>
                <w:b/>
                <w:bCs/>
                <w:szCs w:val="24"/>
              </w:rPr>
              <w:t>FONTE DE RECURSOS</w:t>
            </w:r>
          </w:p>
        </w:tc>
        <w:tc>
          <w:tcPr>
            <w:tcW w:w="4195" w:type="dxa"/>
            <w:tcBorders>
              <w:left w:val="single" w:color="000000" w:sz="2" w:space="0"/>
              <w:bottom w:val="single" w:color="000000" w:sz="2" w:space="0"/>
              <w:right w:val="single" w:color="000000" w:sz="2" w:space="0"/>
            </w:tcBorders>
          </w:tcPr>
          <w:p w14:paraId="74308118">
            <w:pPr>
              <w:keepNext w:val="0"/>
              <w:keepLines w:val="0"/>
              <w:widowControl/>
              <w:suppressLineNumbers w:val="0"/>
              <w:jc w:val="left"/>
              <w:rPr>
                <w:rFonts w:hint="default" w:ascii="Arial" w:hAnsi="Arial" w:cs="Arial"/>
                <w:sz w:val="22"/>
                <w:szCs w:val="22"/>
              </w:rPr>
            </w:pPr>
            <w:r>
              <w:rPr>
                <w:rFonts w:hint="default" w:ascii="Arial" w:hAnsi="Arial" w:eastAsia="SimSun" w:cs="Arial"/>
                <w:b/>
                <w:bCs/>
                <w:i w:val="0"/>
                <w:iCs w:val="0"/>
                <w:color w:val="000000"/>
                <w:kern w:val="0"/>
                <w:sz w:val="22"/>
                <w:szCs w:val="22"/>
                <w:lang w:val="en-US" w:eastAsia="zh-CN" w:bidi="ar"/>
              </w:rPr>
              <w:t>155000000000</w:t>
            </w:r>
          </w:p>
          <w:p w14:paraId="333B5701">
            <w:pPr>
              <w:keepNext w:val="0"/>
              <w:keepLines w:val="0"/>
              <w:widowControl/>
              <w:suppressLineNumbers w:val="0"/>
              <w:jc w:val="left"/>
              <w:rPr>
                <w:rFonts w:hint="default" w:ascii="Arial" w:hAnsi="Arial" w:cs="Arial"/>
                <w:sz w:val="22"/>
                <w:szCs w:val="22"/>
              </w:rPr>
            </w:pPr>
            <w:r>
              <w:rPr>
                <w:rFonts w:hint="default" w:ascii="Arial" w:hAnsi="Arial" w:eastAsia="SimSun" w:cs="Arial"/>
                <w:b/>
                <w:bCs/>
                <w:i w:val="0"/>
                <w:iCs w:val="0"/>
                <w:color w:val="000000"/>
                <w:kern w:val="0"/>
                <w:sz w:val="22"/>
                <w:szCs w:val="22"/>
                <w:lang w:val="en-US" w:eastAsia="zh-CN" w:bidi="ar"/>
              </w:rPr>
              <w:t>150010010000</w:t>
            </w:r>
          </w:p>
          <w:p w14:paraId="406E738B">
            <w:pPr>
              <w:keepNext w:val="0"/>
              <w:keepLines w:val="0"/>
              <w:widowControl/>
              <w:suppressLineNumbers w:val="0"/>
              <w:jc w:val="left"/>
              <w:rPr>
                <w:rFonts w:hint="default" w:ascii="Arial" w:hAnsi="Arial" w:eastAsia="Times New Roman" w:cs="Arial"/>
                <w:sz w:val="22"/>
                <w:szCs w:val="22"/>
                <w:highlight w:val="yellow"/>
                <w:lang w:val="pt-BR" w:eastAsia="pt-BR"/>
              </w:rPr>
            </w:pPr>
            <w:r>
              <w:rPr>
                <w:rFonts w:hint="default" w:ascii="Arial" w:hAnsi="Arial" w:eastAsia="SimSun" w:cs="Arial"/>
                <w:b/>
                <w:bCs/>
                <w:i w:val="0"/>
                <w:iCs w:val="0"/>
                <w:color w:val="000000"/>
                <w:kern w:val="0"/>
                <w:sz w:val="22"/>
                <w:szCs w:val="22"/>
                <w:lang w:val="en-US" w:eastAsia="zh-CN" w:bidi="ar"/>
              </w:rPr>
              <w:t>157300000000</w:t>
            </w:r>
            <w:r>
              <w:rPr>
                <w:rFonts w:hint="default" w:ascii="Arial" w:hAnsi="Arial" w:eastAsia="SimSun" w:cs="Arial"/>
                <w:kern w:val="0"/>
                <w:sz w:val="22"/>
                <w:szCs w:val="22"/>
                <w:lang w:val="en-US" w:eastAsia="zh-CN" w:bidi="ar"/>
              </w:rPr>
              <w:t xml:space="preserve"> </w:t>
            </w:r>
          </w:p>
        </w:tc>
      </w:tr>
      <w:tr w14:paraId="474B8D02">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66EE3D36">
            <w:pPr>
              <w:spacing w:line="24" w:lineRule="atLeast"/>
              <w:jc w:val="both"/>
              <w:rPr>
                <w:rFonts w:ascii="Arial" w:hAnsi="Arial" w:cs="Arial"/>
                <w:b/>
                <w:bCs/>
                <w:szCs w:val="24"/>
              </w:rPr>
            </w:pPr>
            <w:r>
              <w:rPr>
                <w:rFonts w:ascii="Arial" w:hAnsi="Arial" w:cs="Arial"/>
                <w:b/>
                <w:bCs/>
                <w:szCs w:val="24"/>
              </w:rPr>
              <w:t>PROGRAMA DE TRABALHO</w:t>
            </w:r>
          </w:p>
        </w:tc>
        <w:tc>
          <w:tcPr>
            <w:tcW w:w="4195" w:type="dxa"/>
            <w:tcBorders>
              <w:left w:val="single" w:color="000000" w:sz="2" w:space="0"/>
              <w:bottom w:val="single" w:color="000000" w:sz="2" w:space="0"/>
              <w:right w:val="single" w:color="000000" w:sz="2" w:space="0"/>
            </w:tcBorders>
          </w:tcPr>
          <w:p w14:paraId="3F8D9422">
            <w:pPr>
              <w:keepNext w:val="0"/>
              <w:keepLines w:val="0"/>
              <w:widowControl/>
              <w:suppressLineNumbers w:val="0"/>
              <w:jc w:val="left"/>
              <w:rPr>
                <w:rFonts w:hint="default" w:ascii="Arial" w:hAnsi="Arial" w:cs="Arial"/>
                <w:sz w:val="22"/>
                <w:szCs w:val="22"/>
              </w:rPr>
            </w:pPr>
            <w:r>
              <w:rPr>
                <w:rFonts w:hint="default" w:ascii="Arial" w:hAnsi="Arial" w:eastAsia="SimSun" w:cs="Arial"/>
                <w:b/>
                <w:bCs/>
                <w:i w:val="0"/>
                <w:iCs w:val="0"/>
                <w:color w:val="000000"/>
                <w:kern w:val="0"/>
                <w:sz w:val="22"/>
                <w:szCs w:val="22"/>
                <w:lang w:val="en-US" w:eastAsia="zh-CN" w:bidi="ar"/>
              </w:rPr>
              <w:t>07002.1236110502.326</w:t>
            </w:r>
          </w:p>
          <w:p w14:paraId="5CAF2C83">
            <w:pPr>
              <w:keepNext w:val="0"/>
              <w:keepLines w:val="0"/>
              <w:widowControl/>
              <w:suppressLineNumbers w:val="0"/>
              <w:jc w:val="left"/>
              <w:rPr>
                <w:rFonts w:hint="default" w:ascii="Arial" w:hAnsi="Arial" w:eastAsia="Times New Roman" w:cs="Arial"/>
                <w:sz w:val="22"/>
                <w:szCs w:val="22"/>
                <w:highlight w:val="yellow"/>
                <w:lang w:val="pt-BR" w:eastAsia="pt-BR"/>
              </w:rPr>
            </w:pPr>
            <w:r>
              <w:rPr>
                <w:rFonts w:hint="default" w:ascii="Arial" w:hAnsi="Arial" w:eastAsia="SimSun" w:cs="Arial"/>
                <w:b/>
                <w:bCs/>
                <w:i w:val="0"/>
                <w:iCs w:val="0"/>
                <w:color w:val="000000"/>
                <w:kern w:val="0"/>
                <w:sz w:val="22"/>
                <w:szCs w:val="22"/>
                <w:lang w:val="en-US" w:eastAsia="zh-CN" w:bidi="ar"/>
              </w:rPr>
              <w:t>07003.1236510602.345</w:t>
            </w:r>
            <w:r>
              <w:rPr>
                <w:rFonts w:hint="default" w:ascii="Arial" w:hAnsi="Arial" w:eastAsia="SimSun" w:cs="Arial"/>
                <w:kern w:val="0"/>
                <w:sz w:val="22"/>
                <w:szCs w:val="22"/>
                <w:lang w:val="en-US" w:eastAsia="zh-CN" w:bidi="ar"/>
              </w:rPr>
              <w:t xml:space="preserve"> </w:t>
            </w:r>
          </w:p>
        </w:tc>
      </w:tr>
      <w:tr w14:paraId="7D78BB24">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86D6363">
            <w:pPr>
              <w:spacing w:line="24" w:lineRule="atLeast"/>
              <w:jc w:val="both"/>
              <w:rPr>
                <w:rFonts w:ascii="Arial" w:hAnsi="Arial" w:cs="Arial"/>
                <w:b/>
                <w:bCs/>
                <w:szCs w:val="24"/>
              </w:rPr>
            </w:pPr>
            <w:r>
              <w:rPr>
                <w:rFonts w:ascii="Arial" w:hAnsi="Arial" w:cs="Arial"/>
                <w:b/>
                <w:bCs/>
                <w:szCs w:val="24"/>
              </w:rPr>
              <w:t>ELEMENTO DE DESPESA</w:t>
            </w:r>
          </w:p>
        </w:tc>
        <w:tc>
          <w:tcPr>
            <w:tcW w:w="4195" w:type="dxa"/>
            <w:tcBorders>
              <w:left w:val="single" w:color="000000" w:sz="2" w:space="0"/>
              <w:bottom w:val="single" w:color="000000" w:sz="2" w:space="0"/>
              <w:right w:val="single" w:color="000000" w:sz="2" w:space="0"/>
            </w:tcBorders>
          </w:tcPr>
          <w:p w14:paraId="578AA8C0">
            <w:pPr>
              <w:widowControl/>
              <w:autoSpaceDE/>
              <w:autoSpaceDN/>
              <w:spacing w:line="24" w:lineRule="atLeast"/>
              <w:rPr>
                <w:rFonts w:hint="default" w:ascii="Arial" w:hAnsi="Arial" w:eastAsia="Times New Roman" w:cs="Arial"/>
                <w:sz w:val="22"/>
                <w:szCs w:val="22"/>
                <w:highlight w:val="yellow"/>
                <w:lang w:val="pt-BR" w:eastAsia="pt-BR"/>
              </w:rPr>
            </w:pPr>
            <w:r>
              <w:rPr>
                <w:rFonts w:hint="default" w:ascii="Arial" w:hAnsi="Arial" w:eastAsia="SimSun" w:cs="Arial"/>
                <w:b/>
                <w:bCs/>
                <w:i w:val="0"/>
                <w:iCs w:val="0"/>
                <w:color w:val="000000"/>
                <w:sz w:val="22"/>
                <w:szCs w:val="22"/>
              </w:rPr>
              <w:t>449051-02</w:t>
            </w:r>
            <w:r>
              <w:rPr>
                <w:rFonts w:hint="default" w:ascii="Arial" w:hAnsi="Arial" w:eastAsia="SimSun" w:cs="Arial"/>
                <w:sz w:val="22"/>
                <w:szCs w:val="22"/>
              </w:rPr>
              <w:t xml:space="preserve"> </w:t>
            </w:r>
          </w:p>
        </w:tc>
      </w:tr>
    </w:tbl>
    <w:p w14:paraId="1BB05BC7">
      <w:pPr>
        <w:pStyle w:val="19"/>
        <w:tabs>
          <w:tab w:val="left" w:pos="426"/>
        </w:tabs>
        <w:spacing w:line="24" w:lineRule="atLeast"/>
        <w:ind w:left="0"/>
        <w:jc w:val="both"/>
        <w:rPr>
          <w:rFonts w:ascii="Arial" w:hAnsi="Arial" w:cs="Arial"/>
          <w:i/>
          <w:iCs/>
          <w:lang w:val="pt-BR"/>
        </w:rPr>
      </w:pPr>
    </w:p>
    <w:p w14:paraId="57BD92F8">
      <w:pPr>
        <w:pStyle w:val="19"/>
        <w:widowControl/>
        <w:numPr>
          <w:ilvl w:val="1"/>
          <w:numId w:val="3"/>
        </w:numPr>
        <w:tabs>
          <w:tab w:val="left" w:pos="426"/>
        </w:tabs>
        <w:autoSpaceDE/>
        <w:autoSpaceDN/>
        <w:spacing w:before="120" w:after="120" w:line="24" w:lineRule="atLeast"/>
        <w:ind w:left="0" w:firstLine="0"/>
        <w:jc w:val="both"/>
        <w:rPr>
          <w:rFonts w:ascii="Arial" w:hAnsi="Arial" w:cs="Arial"/>
          <w:i/>
          <w:iCs/>
          <w:lang w:val="pt-BR"/>
        </w:rPr>
      </w:pP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14:paraId="10853B16">
      <w:pPr>
        <w:pStyle w:val="19"/>
        <w:widowControl/>
        <w:numPr>
          <w:ilvl w:val="0"/>
          <w:numId w:val="0"/>
        </w:numPr>
        <w:tabs>
          <w:tab w:val="left" w:pos="426"/>
        </w:tabs>
        <w:autoSpaceDE/>
        <w:autoSpaceDN/>
        <w:spacing w:before="120" w:after="120" w:line="24" w:lineRule="atLeast"/>
        <w:ind w:leftChars="0"/>
        <w:jc w:val="both"/>
        <w:rPr>
          <w:rFonts w:ascii="Arial" w:hAnsi="Arial" w:cs="Arial"/>
          <w:i/>
          <w:iCs/>
          <w:lang w:val="pt-BR"/>
        </w:rPr>
      </w:pPr>
    </w:p>
    <w:p w14:paraId="1EBC1E58">
      <w:pPr>
        <w:pStyle w:val="19"/>
        <w:numPr>
          <w:ilvl w:val="0"/>
          <w:numId w:val="3"/>
        </w:numPr>
        <w:tabs>
          <w:tab w:val="left" w:pos="284"/>
        </w:tabs>
        <w:spacing w:line="24" w:lineRule="atLeast"/>
        <w:ind w:left="0" w:firstLine="0"/>
      </w:pPr>
      <w:r>
        <w:rPr>
          <w:rFonts w:hint="default"/>
          <w:b/>
          <w:bCs/>
          <w:sz w:val="22"/>
          <w:szCs w:val="22"/>
          <w:lang w:val="pt-BR"/>
        </w:rPr>
        <w:t xml:space="preserve"> </w:t>
      </w:r>
      <w:r>
        <w:rPr>
          <w:b/>
          <w:bCs/>
          <w:sz w:val="22"/>
          <w:szCs w:val="22"/>
        </w:rPr>
        <w:t xml:space="preserve">CLÁUSULA DÉCIMA </w:t>
      </w:r>
      <w:r>
        <w:rPr>
          <w:rFonts w:hint="default"/>
          <w:b/>
          <w:bCs/>
          <w:sz w:val="22"/>
          <w:szCs w:val="22"/>
          <w:lang w:val="pt-BR"/>
        </w:rPr>
        <w:t>SEXTA</w:t>
      </w:r>
      <w:r>
        <w:rPr>
          <w:b/>
          <w:bCs/>
          <w:sz w:val="22"/>
          <w:szCs w:val="22"/>
        </w:rPr>
        <w:t xml:space="preserve"> – ALTERAÇÕES</w:t>
      </w:r>
    </w:p>
    <w:p w14:paraId="31E4DF2D">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34528695">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D01D5AC">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w:t>
      </w:r>
    </w:p>
    <w:p w14:paraId="2A6F15A1">
      <w:pPr>
        <w:pStyle w:val="19"/>
        <w:tabs>
          <w:tab w:val="left" w:pos="426"/>
        </w:tabs>
        <w:spacing w:line="24" w:lineRule="atLeast"/>
        <w:ind w:left="0"/>
        <w:jc w:val="both"/>
        <w:rPr>
          <w:rFonts w:ascii="Arial" w:hAnsi="Arial" w:cs="Arial"/>
        </w:rPr>
      </w:pPr>
    </w:p>
    <w:p w14:paraId="029D9BC8">
      <w:pPr>
        <w:pStyle w:val="19"/>
        <w:numPr>
          <w:ilvl w:val="0"/>
          <w:numId w:val="3"/>
        </w:numPr>
        <w:tabs>
          <w:tab w:val="left" w:pos="284"/>
        </w:tabs>
        <w:spacing w:line="24" w:lineRule="atLeast"/>
        <w:ind w:left="0" w:firstLine="0"/>
        <w:rPr>
          <w:b/>
          <w:bCs/>
          <w:sz w:val="22"/>
          <w:szCs w:val="22"/>
        </w:rPr>
      </w:pPr>
      <w:r>
        <w:rPr>
          <w:rFonts w:hint="default"/>
          <w:b/>
          <w:bCs/>
          <w:sz w:val="22"/>
          <w:szCs w:val="22"/>
          <w:lang w:val="pt-BR"/>
        </w:rPr>
        <w:t xml:space="preserve">  </w:t>
      </w:r>
      <w:r>
        <w:rPr>
          <w:b/>
          <w:bCs/>
          <w:sz w:val="22"/>
          <w:szCs w:val="22"/>
        </w:rPr>
        <w:t>CLÁUSULA DÉCIMA S</w:t>
      </w:r>
      <w:r>
        <w:rPr>
          <w:rFonts w:hint="default"/>
          <w:b/>
          <w:bCs/>
          <w:sz w:val="22"/>
          <w:szCs w:val="22"/>
          <w:lang w:val="pt-BR"/>
        </w:rPr>
        <w:t>ÉTIMA</w:t>
      </w:r>
      <w:r>
        <w:rPr>
          <w:b/>
          <w:bCs/>
          <w:sz w:val="22"/>
          <w:szCs w:val="22"/>
        </w:rPr>
        <w:t xml:space="preserve"> – PUBLICAÇÃO</w:t>
      </w:r>
    </w:p>
    <w:p w14:paraId="736DF669">
      <w:pPr>
        <w:pStyle w:val="19"/>
        <w:widowControl/>
        <w:numPr>
          <w:ilvl w:val="1"/>
          <w:numId w:val="3"/>
        </w:numPr>
        <w:tabs>
          <w:tab w:val="left" w:pos="426"/>
        </w:tabs>
        <w:autoSpaceDE/>
        <w:autoSpaceDN/>
        <w:spacing w:before="120" w:after="120" w:line="24" w:lineRule="atLeast"/>
        <w:ind w:left="0" w:firstLine="0"/>
        <w:jc w:val="both"/>
        <w:rPr>
          <w:rFonts w:ascii="Arial" w:hAnsi="Arial" w:cs="Arial"/>
          <w:b/>
          <w:bCs/>
          <w:u w:val="single"/>
        </w:rPr>
      </w:pPr>
      <w:r>
        <w:rPr>
          <w:rFonts w:ascii="Arial" w:hAnsi="Arial" w:cs="Arial"/>
          <w:b/>
          <w:bCs/>
          <w:u w:val="single"/>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b/>
          <w:bCs/>
        </w:rPr>
        <w:t>art. 94 da Lei 14.133, de 2021</w:t>
      </w:r>
      <w:r>
        <w:rPr>
          <w:rStyle w:val="9"/>
          <w:rFonts w:ascii="Arial" w:hAnsi="Arial" w:cs="Arial"/>
          <w:b/>
          <w:bCs/>
        </w:rPr>
        <w:fldChar w:fldCharType="end"/>
      </w:r>
      <w:r>
        <w:rPr>
          <w:rFonts w:ascii="Arial" w:hAnsi="Arial" w:cs="Arial"/>
          <w:b/>
          <w:bCs/>
          <w:u w:val="single"/>
        </w:rPr>
        <w:t xml:space="preserve">, bem como no respectivo sítio oficial na Internet, em atenção ao art. 91, </w:t>
      </w:r>
      <w:r>
        <w:rPr>
          <w:rFonts w:ascii="Arial" w:hAnsi="Arial" w:cs="Arial"/>
          <w:b/>
          <w:bCs/>
          <w:i/>
          <w:u w:val="single"/>
        </w:rPr>
        <w:t>caput,</w:t>
      </w:r>
      <w:r>
        <w:rPr>
          <w:rFonts w:ascii="Arial" w:hAnsi="Arial" w:cs="Arial"/>
          <w:b/>
          <w:bCs/>
          <w:u w:val="single"/>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b/>
          <w:bCs/>
        </w:rPr>
        <w:t>art. 8º, §2º, da Lei n. 12.527, de 2011</w:t>
      </w:r>
      <w:r>
        <w:rPr>
          <w:rStyle w:val="9"/>
          <w:rFonts w:ascii="Arial" w:hAnsi="Arial" w:cs="Arial"/>
          <w:b/>
          <w:bCs/>
        </w:rPr>
        <w:fldChar w:fldCharType="end"/>
      </w:r>
      <w:r>
        <w:rPr>
          <w:rFonts w:ascii="Arial" w:hAnsi="Arial" w:cs="Arial"/>
          <w:b/>
          <w:bCs/>
          <w:u w:val="single"/>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b/>
          <w:bCs/>
        </w:rPr>
        <w:t>art. 7º, §3º, inciso V, do Decreto n. 7.724, de 2012</w:t>
      </w:r>
      <w:r>
        <w:rPr>
          <w:rStyle w:val="9"/>
          <w:rFonts w:ascii="Arial" w:hAnsi="Arial" w:cs="Arial"/>
          <w:b/>
          <w:bCs/>
        </w:rPr>
        <w:fldChar w:fldCharType="end"/>
      </w:r>
      <w:r>
        <w:rPr>
          <w:rFonts w:ascii="Arial" w:hAnsi="Arial" w:cs="Arial"/>
          <w:b/>
          <w:bCs/>
          <w:u w:val="single"/>
        </w:rPr>
        <w:t>.</w:t>
      </w:r>
    </w:p>
    <w:p w14:paraId="5C93012C">
      <w:pPr>
        <w:pStyle w:val="19"/>
        <w:tabs>
          <w:tab w:val="left" w:pos="426"/>
        </w:tabs>
        <w:spacing w:line="24" w:lineRule="atLeast"/>
        <w:ind w:left="0"/>
        <w:jc w:val="both"/>
        <w:rPr>
          <w:rFonts w:ascii="Arial" w:hAnsi="Arial" w:cs="Arial"/>
          <w:b/>
          <w:bCs/>
          <w:u w:val="single"/>
        </w:rPr>
      </w:pPr>
    </w:p>
    <w:p w14:paraId="0EA0DC77">
      <w:pPr>
        <w:pStyle w:val="19"/>
        <w:numPr>
          <w:ilvl w:val="0"/>
          <w:numId w:val="3"/>
        </w:numPr>
        <w:tabs>
          <w:tab w:val="left" w:pos="284"/>
        </w:tabs>
        <w:spacing w:line="24" w:lineRule="atLeast"/>
        <w:ind w:left="0" w:firstLine="0"/>
        <w:rPr>
          <w:sz w:val="22"/>
          <w:szCs w:val="22"/>
        </w:rPr>
      </w:pPr>
      <w:r>
        <w:rPr>
          <w:sz w:val="22"/>
          <w:szCs w:val="22"/>
        </w:rPr>
        <w:t xml:space="preserve">- </w:t>
      </w:r>
      <w:r>
        <w:rPr>
          <w:b/>
          <w:bCs/>
          <w:sz w:val="22"/>
          <w:szCs w:val="22"/>
        </w:rPr>
        <w:t xml:space="preserve">CLÁUSULA DÉCIMA </w:t>
      </w:r>
      <w:r>
        <w:rPr>
          <w:rFonts w:hint="default"/>
          <w:b/>
          <w:bCs/>
          <w:sz w:val="22"/>
          <w:szCs w:val="22"/>
          <w:lang w:val="pt-BR"/>
        </w:rPr>
        <w:t>OITAVA</w:t>
      </w:r>
      <w:r>
        <w:rPr>
          <w:b/>
          <w:bCs/>
          <w:sz w:val="22"/>
          <w:szCs w:val="22"/>
        </w:rPr>
        <w:t xml:space="preserve"> – FORO (</w:t>
      </w:r>
      <w:r>
        <w:rPr>
          <w:b/>
          <w:bCs/>
        </w:rPr>
        <w:fldChar w:fldCharType="begin"/>
      </w:r>
      <w:r>
        <w:rPr>
          <w:b/>
          <w:bCs/>
        </w:rPr>
        <w:instrText xml:space="preserve"> HYPERLINK "http://www.planalto.gov.br/ccivil_03/_ato2019-2022/2021/lei/L14133.htm" \l "art92§1" </w:instrText>
      </w:r>
      <w:r>
        <w:rPr>
          <w:b/>
          <w:bCs/>
        </w:rPr>
        <w:fldChar w:fldCharType="separate"/>
      </w:r>
      <w:r>
        <w:rPr>
          <w:rStyle w:val="9"/>
          <w:b/>
          <w:bCs/>
          <w:sz w:val="22"/>
          <w:szCs w:val="22"/>
        </w:rPr>
        <w:t>art. 92, §1º</w:t>
      </w:r>
      <w:r>
        <w:rPr>
          <w:rStyle w:val="9"/>
          <w:b/>
          <w:bCs/>
          <w:sz w:val="22"/>
          <w:szCs w:val="22"/>
        </w:rPr>
        <w:fldChar w:fldCharType="end"/>
      </w:r>
      <w:r>
        <w:rPr>
          <w:b/>
          <w:bCs/>
          <w:sz w:val="22"/>
          <w:szCs w:val="22"/>
        </w:rPr>
        <w:t>)</w:t>
      </w:r>
    </w:p>
    <w:p w14:paraId="4C366EC9">
      <w:pPr>
        <w:pStyle w:val="19"/>
        <w:widowControl/>
        <w:numPr>
          <w:ilvl w:val="1"/>
          <w:numId w:val="3"/>
        </w:numPr>
        <w:tabs>
          <w:tab w:val="left" w:pos="426"/>
        </w:tabs>
        <w:autoSpaceDE/>
        <w:autoSpaceDN/>
        <w:spacing w:before="120" w:after="120" w:line="24" w:lineRule="atLeast"/>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5F44FFA4">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510229F">
      <w:pPr>
        <w:spacing w:before="120" w:after="120" w:line="24" w:lineRule="atLeast"/>
        <w:jc w:val="both"/>
        <w:rPr>
          <w:rFonts w:ascii="Arial" w:hAnsi="Arial" w:cs="Arial"/>
        </w:rPr>
      </w:pPr>
    </w:p>
    <w:p w14:paraId="070D2B1F">
      <w:pPr>
        <w:spacing w:after="120" w:line="24" w:lineRule="atLeast"/>
        <w:ind w:right="-15"/>
        <w:jc w:val="right"/>
        <w:rPr>
          <w:rFonts w:ascii="Arial" w:hAnsi="Arial" w:cs="Arial"/>
        </w:rPr>
      </w:pPr>
      <w:r>
        <w:rPr>
          <w:rFonts w:ascii="Arial" w:hAnsi="Arial" w:cs="Arial"/>
        </w:rPr>
        <w:t>.........................................,  .......... de........................................ de 20.....</w:t>
      </w:r>
    </w:p>
    <w:p w14:paraId="1F3BF365">
      <w:pPr>
        <w:spacing w:after="120" w:line="24" w:lineRule="atLeast"/>
        <w:ind w:right="-15"/>
        <w:jc w:val="right"/>
        <w:rPr>
          <w:rFonts w:ascii="Arial" w:hAnsi="Arial" w:cs="Arial"/>
        </w:rPr>
      </w:pPr>
    </w:p>
    <w:p w14:paraId="59F526D5">
      <w:pPr>
        <w:spacing w:after="120" w:line="24" w:lineRule="atLeast"/>
        <w:ind w:right="-15"/>
        <w:jc w:val="right"/>
        <w:rPr>
          <w:rFonts w:ascii="Arial" w:hAnsi="Arial" w:cs="Arial"/>
        </w:rPr>
      </w:pPr>
    </w:p>
    <w:p w14:paraId="2CDF9B9D">
      <w:pPr>
        <w:spacing w:after="120" w:line="24" w:lineRule="atLeast"/>
        <w:jc w:val="center"/>
        <w:rPr>
          <w:rFonts w:ascii="Arial" w:hAnsi="Arial" w:cs="Arial"/>
          <w:bCs/>
        </w:rPr>
      </w:pPr>
      <w:r>
        <w:rPr>
          <w:rFonts w:ascii="Arial" w:hAnsi="Arial" w:cs="Arial"/>
          <w:bCs/>
        </w:rPr>
        <w:t>________________________________</w:t>
      </w:r>
    </w:p>
    <w:p w14:paraId="19618E89">
      <w:pPr>
        <w:spacing w:after="120" w:line="24" w:lineRule="atLeast"/>
        <w:jc w:val="center"/>
        <w:rPr>
          <w:rFonts w:ascii="Arial" w:hAnsi="Arial" w:cs="Arial"/>
          <w:bCs/>
        </w:rPr>
      </w:pPr>
      <w:r>
        <w:rPr>
          <w:rFonts w:ascii="Arial" w:hAnsi="Arial" w:cs="Arial"/>
          <w:bCs/>
        </w:rPr>
        <w:t>Responsável legal da CONTRATANTE</w:t>
      </w:r>
    </w:p>
    <w:p w14:paraId="4EA5CF99">
      <w:pPr>
        <w:spacing w:after="120" w:line="24" w:lineRule="atLeast"/>
        <w:jc w:val="center"/>
        <w:rPr>
          <w:rFonts w:ascii="Arial" w:hAnsi="Arial" w:cs="Arial"/>
        </w:rPr>
      </w:pPr>
    </w:p>
    <w:p w14:paraId="4A19F267">
      <w:pPr>
        <w:spacing w:after="120" w:line="24" w:lineRule="atLeast"/>
        <w:jc w:val="center"/>
        <w:rPr>
          <w:rFonts w:ascii="Arial" w:hAnsi="Arial" w:cs="Arial"/>
        </w:rPr>
      </w:pPr>
      <w:r>
        <w:rPr>
          <w:rFonts w:ascii="Arial" w:hAnsi="Arial" w:cs="Arial"/>
        </w:rPr>
        <w:t>_______________________________</w:t>
      </w:r>
    </w:p>
    <w:p w14:paraId="607540BE">
      <w:pPr>
        <w:spacing w:after="120" w:line="24" w:lineRule="atLeast"/>
        <w:jc w:val="center"/>
        <w:rPr>
          <w:rFonts w:ascii="Arial" w:hAnsi="Arial" w:cs="Arial"/>
        </w:rPr>
      </w:pPr>
      <w:r>
        <w:rPr>
          <w:rFonts w:ascii="Arial" w:hAnsi="Arial" w:cs="Arial"/>
        </w:rPr>
        <w:t>Responsável legal da CONTRATADA</w:t>
      </w:r>
    </w:p>
    <w:p w14:paraId="0D41A560">
      <w:pPr>
        <w:spacing w:after="120" w:line="24" w:lineRule="atLeast"/>
        <w:jc w:val="both"/>
        <w:rPr>
          <w:rFonts w:ascii="Arial" w:hAnsi="Arial" w:cs="Arial"/>
        </w:rPr>
      </w:pPr>
    </w:p>
    <w:p w14:paraId="2A71FA04">
      <w:pPr>
        <w:spacing w:after="120" w:line="24" w:lineRule="atLeast"/>
        <w:jc w:val="both"/>
        <w:rPr>
          <w:rFonts w:ascii="Arial" w:hAnsi="Arial" w:cs="Arial"/>
        </w:rPr>
      </w:pPr>
      <w:r>
        <w:rPr>
          <w:rFonts w:ascii="Arial" w:hAnsi="Arial" w:cs="Arial"/>
        </w:rPr>
        <w:t>TESTEMUNHAS:</w:t>
      </w:r>
    </w:p>
    <w:p w14:paraId="71913062">
      <w:pPr>
        <w:spacing w:after="120" w:line="24" w:lineRule="atLeast"/>
        <w:jc w:val="both"/>
        <w:rPr>
          <w:rFonts w:ascii="Arial" w:hAnsi="Arial" w:cs="Arial"/>
        </w:rPr>
      </w:pPr>
    </w:p>
    <w:p w14:paraId="69FA23FF">
      <w:pPr>
        <w:spacing w:after="120" w:line="24" w:lineRule="atLeast"/>
        <w:jc w:val="both"/>
        <w:rPr>
          <w:rFonts w:ascii="Arial" w:hAnsi="Arial" w:cs="Arial"/>
        </w:rPr>
      </w:pPr>
      <w:r>
        <w:rPr>
          <w:rFonts w:ascii="Arial" w:hAnsi="Arial" w:cs="Arial"/>
        </w:rPr>
        <w:t>1-</w:t>
      </w:r>
    </w:p>
    <w:p w14:paraId="3C43EC57">
      <w:pPr>
        <w:spacing w:after="120" w:line="24" w:lineRule="atLeast"/>
        <w:jc w:val="both"/>
        <w:rPr>
          <w:rFonts w:ascii="Arial" w:hAnsi="Arial" w:cs="Arial"/>
        </w:rPr>
      </w:pPr>
    </w:p>
    <w:p w14:paraId="14CEA55E">
      <w:pPr>
        <w:spacing w:after="120" w:line="24" w:lineRule="atLeast"/>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72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Calibri"/>
    <w:panose1 w:val="00000000000000000000"/>
    <w:charset w:val="00"/>
    <w:family w:val="moder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19EB">
    <w:pPr>
      <w:pStyle w:val="15"/>
      <w:jc w:val="center"/>
      <w:rPr>
        <w:rFonts w:ascii="Azo Sans Md" w:hAnsi="Azo Sans Md"/>
        <w:b/>
        <w:bCs/>
        <w:color w:val="000000"/>
        <w:sz w:val="18"/>
        <w:szCs w:val="18"/>
      </w:rPr>
    </w:pPr>
  </w:p>
  <w:p w14:paraId="067D26F7">
    <w:pPr>
      <w:pStyle w:val="15"/>
      <w:jc w:val="center"/>
      <w:rPr>
        <w:rFonts w:ascii="Arial" w:hAnsi="Arial" w:cs="Arial"/>
        <w:color w:val="000000"/>
        <w:sz w:val="18"/>
        <w:szCs w:val="18"/>
      </w:rPr>
    </w:pPr>
  </w:p>
  <w:p w14:paraId="0A4C7600">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F132C">
    <w:pPr>
      <w:pStyle w:val="4"/>
      <w:pBdr>
        <w:bottom w:val="single" w:color="auto" w:sz="4" w:space="1"/>
      </w:pBdr>
      <w:tabs>
        <w:tab w:val="left" w:pos="1488"/>
        <w:tab w:val="left" w:pos="10912"/>
      </w:tabs>
    </w:pPr>
    <w:r>
      <w:rPr>
        <w:rFonts w:hint="default" w:ascii="Calibri" w:hAnsi="Calibri" w:eastAsia="Calibri" w:cs="Calibri"/>
        <w:i/>
        <w:sz w:val="24"/>
        <w:szCs w:val="24"/>
        <w:lang w:val="pt-BR"/>
      </w:rPr>
      <w:drawing>
        <wp:inline distT="0" distB="0" distL="114300" distR="114300">
          <wp:extent cx="3474085" cy="1066165"/>
          <wp:effectExtent l="0" t="0" r="12065" b="635"/>
          <wp:docPr id="2" name="Imagem 2" descr="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Prefeitura"/>
                  <pic:cNvPicPr>
                    <a:picLocks noChangeAspect="1"/>
                  </pic:cNvPicPr>
                </pic:nvPicPr>
                <pic:blipFill>
                  <a:blip r:embed="rId1"/>
                  <a:stretch>
                    <a:fillRect/>
                  </a:stretch>
                </pic:blipFill>
                <pic:spPr>
                  <a:xfrm>
                    <a:off x="0" y="0"/>
                    <a:ext cx="3474085" cy="1066165"/>
                  </a:xfrm>
                  <a:prstGeom prst="rect">
                    <a:avLst/>
                  </a:prstGeom>
                </pic:spPr>
              </pic:pic>
            </a:graphicData>
          </a:graphic>
        </wp:inline>
      </w:drawing>
    </w:r>
  </w:p>
  <w:p w14:paraId="0CBF6125"/>
  <w:p w14:paraId="24FE79F9">
    <w:pPr>
      <w:ind w:left="426" w:right="-17"/>
      <w:jc w:val="right"/>
      <w:rPr>
        <w:rFonts w:ascii="Arial" w:hAnsi="Arial" w:cs="Arial"/>
        <w:b/>
        <w:lang w:val="pt-BR"/>
      </w:rPr>
    </w:pPr>
  </w:p>
  <w:p w14:paraId="5199FB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502"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057A"/>
    <w:rsid w:val="00004765"/>
    <w:rsid w:val="00007997"/>
    <w:rsid w:val="00010323"/>
    <w:rsid w:val="00013242"/>
    <w:rsid w:val="000137FD"/>
    <w:rsid w:val="00016803"/>
    <w:rsid w:val="000168E3"/>
    <w:rsid w:val="0001740F"/>
    <w:rsid w:val="000205DB"/>
    <w:rsid w:val="00031FF5"/>
    <w:rsid w:val="00043FA7"/>
    <w:rsid w:val="00047EAB"/>
    <w:rsid w:val="00055A35"/>
    <w:rsid w:val="00060815"/>
    <w:rsid w:val="00064A3F"/>
    <w:rsid w:val="000659B7"/>
    <w:rsid w:val="0007531B"/>
    <w:rsid w:val="00085E40"/>
    <w:rsid w:val="00090A03"/>
    <w:rsid w:val="00090C31"/>
    <w:rsid w:val="00092735"/>
    <w:rsid w:val="00097D7B"/>
    <w:rsid w:val="000A1E64"/>
    <w:rsid w:val="000A720B"/>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6BD8"/>
    <w:rsid w:val="001079D7"/>
    <w:rsid w:val="001149D8"/>
    <w:rsid w:val="00125198"/>
    <w:rsid w:val="001257E0"/>
    <w:rsid w:val="001272CC"/>
    <w:rsid w:val="00130DCF"/>
    <w:rsid w:val="00134FCE"/>
    <w:rsid w:val="00135F0B"/>
    <w:rsid w:val="0014449B"/>
    <w:rsid w:val="00147B9F"/>
    <w:rsid w:val="0015173F"/>
    <w:rsid w:val="0015751B"/>
    <w:rsid w:val="00163876"/>
    <w:rsid w:val="00165D70"/>
    <w:rsid w:val="001767E4"/>
    <w:rsid w:val="00185DBF"/>
    <w:rsid w:val="00187C1B"/>
    <w:rsid w:val="00190F53"/>
    <w:rsid w:val="00193060"/>
    <w:rsid w:val="001A0D41"/>
    <w:rsid w:val="001A1733"/>
    <w:rsid w:val="001B5037"/>
    <w:rsid w:val="001D1890"/>
    <w:rsid w:val="001D32DF"/>
    <w:rsid w:val="001D4AC3"/>
    <w:rsid w:val="001E0962"/>
    <w:rsid w:val="001E3568"/>
    <w:rsid w:val="001E6DD7"/>
    <w:rsid w:val="001F44F7"/>
    <w:rsid w:val="00204C8A"/>
    <w:rsid w:val="00205048"/>
    <w:rsid w:val="00206977"/>
    <w:rsid w:val="00212F44"/>
    <w:rsid w:val="002218CE"/>
    <w:rsid w:val="002248AB"/>
    <w:rsid w:val="00227DC7"/>
    <w:rsid w:val="00230394"/>
    <w:rsid w:val="00231ABE"/>
    <w:rsid w:val="00231EAB"/>
    <w:rsid w:val="00243E36"/>
    <w:rsid w:val="00244CA9"/>
    <w:rsid w:val="00251867"/>
    <w:rsid w:val="002556A7"/>
    <w:rsid w:val="002573CE"/>
    <w:rsid w:val="00257889"/>
    <w:rsid w:val="00264522"/>
    <w:rsid w:val="002663BD"/>
    <w:rsid w:val="00266B10"/>
    <w:rsid w:val="00276B5D"/>
    <w:rsid w:val="0028199E"/>
    <w:rsid w:val="0028504B"/>
    <w:rsid w:val="00296174"/>
    <w:rsid w:val="002A4753"/>
    <w:rsid w:val="002A5711"/>
    <w:rsid w:val="002A5731"/>
    <w:rsid w:val="002A5881"/>
    <w:rsid w:val="002A7071"/>
    <w:rsid w:val="002A729A"/>
    <w:rsid w:val="002B28F4"/>
    <w:rsid w:val="002B3DAB"/>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47990"/>
    <w:rsid w:val="0035743C"/>
    <w:rsid w:val="003578AC"/>
    <w:rsid w:val="00357A26"/>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0858"/>
    <w:rsid w:val="004549BE"/>
    <w:rsid w:val="00461F93"/>
    <w:rsid w:val="00466044"/>
    <w:rsid w:val="00466BF6"/>
    <w:rsid w:val="00473378"/>
    <w:rsid w:val="004735E6"/>
    <w:rsid w:val="0047582C"/>
    <w:rsid w:val="00475936"/>
    <w:rsid w:val="0048007A"/>
    <w:rsid w:val="00481EFD"/>
    <w:rsid w:val="004959AC"/>
    <w:rsid w:val="004A09DC"/>
    <w:rsid w:val="004A1537"/>
    <w:rsid w:val="004A30C1"/>
    <w:rsid w:val="004A7803"/>
    <w:rsid w:val="004B375B"/>
    <w:rsid w:val="004B61AB"/>
    <w:rsid w:val="004C1220"/>
    <w:rsid w:val="004C76E7"/>
    <w:rsid w:val="004D3E0A"/>
    <w:rsid w:val="004E079B"/>
    <w:rsid w:val="004E1FFC"/>
    <w:rsid w:val="004E221E"/>
    <w:rsid w:val="004E608B"/>
    <w:rsid w:val="005002F9"/>
    <w:rsid w:val="005041CA"/>
    <w:rsid w:val="0050609F"/>
    <w:rsid w:val="0050761F"/>
    <w:rsid w:val="00510C82"/>
    <w:rsid w:val="00515DDB"/>
    <w:rsid w:val="005241B8"/>
    <w:rsid w:val="0052549E"/>
    <w:rsid w:val="005258A4"/>
    <w:rsid w:val="00532FA9"/>
    <w:rsid w:val="005360EE"/>
    <w:rsid w:val="005466C3"/>
    <w:rsid w:val="00546D34"/>
    <w:rsid w:val="0055035E"/>
    <w:rsid w:val="0055265D"/>
    <w:rsid w:val="00552CD7"/>
    <w:rsid w:val="005548E3"/>
    <w:rsid w:val="00557CD0"/>
    <w:rsid w:val="0056221F"/>
    <w:rsid w:val="00563586"/>
    <w:rsid w:val="00564A89"/>
    <w:rsid w:val="00571224"/>
    <w:rsid w:val="005722A3"/>
    <w:rsid w:val="005748D7"/>
    <w:rsid w:val="00582673"/>
    <w:rsid w:val="00594591"/>
    <w:rsid w:val="005C402B"/>
    <w:rsid w:val="005C5FFB"/>
    <w:rsid w:val="005D66B5"/>
    <w:rsid w:val="005D7CC0"/>
    <w:rsid w:val="005E2922"/>
    <w:rsid w:val="005E753D"/>
    <w:rsid w:val="005F27AF"/>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6064C"/>
    <w:rsid w:val="00663874"/>
    <w:rsid w:val="00667939"/>
    <w:rsid w:val="006709DA"/>
    <w:rsid w:val="00670BF3"/>
    <w:rsid w:val="0067457F"/>
    <w:rsid w:val="006825AF"/>
    <w:rsid w:val="00691421"/>
    <w:rsid w:val="00692175"/>
    <w:rsid w:val="006A1B6A"/>
    <w:rsid w:val="006A3830"/>
    <w:rsid w:val="006B62AB"/>
    <w:rsid w:val="006C7188"/>
    <w:rsid w:val="006D48A5"/>
    <w:rsid w:val="006D4909"/>
    <w:rsid w:val="006D6562"/>
    <w:rsid w:val="006E5958"/>
    <w:rsid w:val="006E635F"/>
    <w:rsid w:val="006F0ECE"/>
    <w:rsid w:val="006F14B3"/>
    <w:rsid w:val="00713A65"/>
    <w:rsid w:val="007168B3"/>
    <w:rsid w:val="00722F56"/>
    <w:rsid w:val="0072589C"/>
    <w:rsid w:val="007270C7"/>
    <w:rsid w:val="00735ADD"/>
    <w:rsid w:val="00741433"/>
    <w:rsid w:val="007476E1"/>
    <w:rsid w:val="0075018C"/>
    <w:rsid w:val="007506FB"/>
    <w:rsid w:val="00752A45"/>
    <w:rsid w:val="0075652C"/>
    <w:rsid w:val="00763341"/>
    <w:rsid w:val="00766D93"/>
    <w:rsid w:val="00773AA0"/>
    <w:rsid w:val="00774918"/>
    <w:rsid w:val="007767C7"/>
    <w:rsid w:val="00785644"/>
    <w:rsid w:val="00785D66"/>
    <w:rsid w:val="0079421E"/>
    <w:rsid w:val="00797F3F"/>
    <w:rsid w:val="007A6547"/>
    <w:rsid w:val="007B0D84"/>
    <w:rsid w:val="007B1474"/>
    <w:rsid w:val="007B28CD"/>
    <w:rsid w:val="007E78B9"/>
    <w:rsid w:val="007E7BBF"/>
    <w:rsid w:val="007F7B13"/>
    <w:rsid w:val="00807004"/>
    <w:rsid w:val="00814BB1"/>
    <w:rsid w:val="00814BDC"/>
    <w:rsid w:val="008202AC"/>
    <w:rsid w:val="00821580"/>
    <w:rsid w:val="008233A0"/>
    <w:rsid w:val="008311C9"/>
    <w:rsid w:val="00831574"/>
    <w:rsid w:val="0083408E"/>
    <w:rsid w:val="00837319"/>
    <w:rsid w:val="00837575"/>
    <w:rsid w:val="008375B8"/>
    <w:rsid w:val="00843BA7"/>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31A4"/>
    <w:rsid w:val="0089518A"/>
    <w:rsid w:val="008A046D"/>
    <w:rsid w:val="008A31DA"/>
    <w:rsid w:val="008A72D1"/>
    <w:rsid w:val="008B1D7C"/>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174E2"/>
    <w:rsid w:val="0092129B"/>
    <w:rsid w:val="009213D5"/>
    <w:rsid w:val="009327CB"/>
    <w:rsid w:val="009335AB"/>
    <w:rsid w:val="00941655"/>
    <w:rsid w:val="00944FFE"/>
    <w:rsid w:val="00954199"/>
    <w:rsid w:val="009553C6"/>
    <w:rsid w:val="00956E65"/>
    <w:rsid w:val="00961535"/>
    <w:rsid w:val="00971993"/>
    <w:rsid w:val="00974672"/>
    <w:rsid w:val="00974A4B"/>
    <w:rsid w:val="00975829"/>
    <w:rsid w:val="0097688D"/>
    <w:rsid w:val="0097702B"/>
    <w:rsid w:val="009872FB"/>
    <w:rsid w:val="009877CB"/>
    <w:rsid w:val="00994651"/>
    <w:rsid w:val="009A16F5"/>
    <w:rsid w:val="009A5753"/>
    <w:rsid w:val="009B3712"/>
    <w:rsid w:val="009B70F6"/>
    <w:rsid w:val="009C02ED"/>
    <w:rsid w:val="009C3548"/>
    <w:rsid w:val="009D2CA1"/>
    <w:rsid w:val="009E1207"/>
    <w:rsid w:val="009E66A8"/>
    <w:rsid w:val="009F2F85"/>
    <w:rsid w:val="00A0051A"/>
    <w:rsid w:val="00A06D2F"/>
    <w:rsid w:val="00A111BA"/>
    <w:rsid w:val="00A14FF7"/>
    <w:rsid w:val="00A229E2"/>
    <w:rsid w:val="00A23D36"/>
    <w:rsid w:val="00A27B94"/>
    <w:rsid w:val="00A327A0"/>
    <w:rsid w:val="00A4175F"/>
    <w:rsid w:val="00A53B03"/>
    <w:rsid w:val="00A57DA7"/>
    <w:rsid w:val="00A6697E"/>
    <w:rsid w:val="00A74974"/>
    <w:rsid w:val="00A756C0"/>
    <w:rsid w:val="00A75B6C"/>
    <w:rsid w:val="00A87002"/>
    <w:rsid w:val="00A92914"/>
    <w:rsid w:val="00A94653"/>
    <w:rsid w:val="00A96E16"/>
    <w:rsid w:val="00AA4EF9"/>
    <w:rsid w:val="00AA6B3D"/>
    <w:rsid w:val="00AC1FD2"/>
    <w:rsid w:val="00AC69AD"/>
    <w:rsid w:val="00AD022C"/>
    <w:rsid w:val="00AD4EFB"/>
    <w:rsid w:val="00AE2539"/>
    <w:rsid w:val="00AE7153"/>
    <w:rsid w:val="00AF4EE0"/>
    <w:rsid w:val="00AF5DD4"/>
    <w:rsid w:val="00AF6B88"/>
    <w:rsid w:val="00B0084D"/>
    <w:rsid w:val="00B02294"/>
    <w:rsid w:val="00B03288"/>
    <w:rsid w:val="00B061E6"/>
    <w:rsid w:val="00B12062"/>
    <w:rsid w:val="00B13DC2"/>
    <w:rsid w:val="00B16431"/>
    <w:rsid w:val="00B17BE8"/>
    <w:rsid w:val="00B25D0B"/>
    <w:rsid w:val="00B26F60"/>
    <w:rsid w:val="00B27105"/>
    <w:rsid w:val="00B27477"/>
    <w:rsid w:val="00B30CA0"/>
    <w:rsid w:val="00B35782"/>
    <w:rsid w:val="00B367AB"/>
    <w:rsid w:val="00B36A36"/>
    <w:rsid w:val="00B37399"/>
    <w:rsid w:val="00B375EA"/>
    <w:rsid w:val="00B42A6A"/>
    <w:rsid w:val="00B51D0D"/>
    <w:rsid w:val="00B52F88"/>
    <w:rsid w:val="00B676BB"/>
    <w:rsid w:val="00B721DC"/>
    <w:rsid w:val="00B92016"/>
    <w:rsid w:val="00B923BE"/>
    <w:rsid w:val="00B97A4B"/>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3141"/>
    <w:rsid w:val="00BF62AF"/>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24B8"/>
    <w:rsid w:val="00C876B7"/>
    <w:rsid w:val="00C91A0C"/>
    <w:rsid w:val="00C95B31"/>
    <w:rsid w:val="00C9769F"/>
    <w:rsid w:val="00CA5F9F"/>
    <w:rsid w:val="00CB6468"/>
    <w:rsid w:val="00CB7984"/>
    <w:rsid w:val="00CC0C99"/>
    <w:rsid w:val="00CC288A"/>
    <w:rsid w:val="00CC666F"/>
    <w:rsid w:val="00CD38B7"/>
    <w:rsid w:val="00CE1CB6"/>
    <w:rsid w:val="00CF467B"/>
    <w:rsid w:val="00D06A05"/>
    <w:rsid w:val="00D22F45"/>
    <w:rsid w:val="00D2348E"/>
    <w:rsid w:val="00D249B9"/>
    <w:rsid w:val="00D2776D"/>
    <w:rsid w:val="00D27AFB"/>
    <w:rsid w:val="00D35788"/>
    <w:rsid w:val="00D41464"/>
    <w:rsid w:val="00D5096A"/>
    <w:rsid w:val="00D55810"/>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F005F"/>
    <w:rsid w:val="00DF0184"/>
    <w:rsid w:val="00E12775"/>
    <w:rsid w:val="00E151D6"/>
    <w:rsid w:val="00E26E61"/>
    <w:rsid w:val="00E27B1B"/>
    <w:rsid w:val="00E30BFB"/>
    <w:rsid w:val="00E40A97"/>
    <w:rsid w:val="00E415DF"/>
    <w:rsid w:val="00E4547A"/>
    <w:rsid w:val="00E52DCC"/>
    <w:rsid w:val="00E72E81"/>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0D5B"/>
    <w:rsid w:val="00ED1360"/>
    <w:rsid w:val="00ED74B1"/>
    <w:rsid w:val="00EE1B67"/>
    <w:rsid w:val="00EE2035"/>
    <w:rsid w:val="00EF6AA9"/>
    <w:rsid w:val="00F232EF"/>
    <w:rsid w:val="00F25325"/>
    <w:rsid w:val="00F30FF9"/>
    <w:rsid w:val="00F32C26"/>
    <w:rsid w:val="00F336C7"/>
    <w:rsid w:val="00F37352"/>
    <w:rsid w:val="00F40051"/>
    <w:rsid w:val="00F45FFC"/>
    <w:rsid w:val="00F46439"/>
    <w:rsid w:val="00F57615"/>
    <w:rsid w:val="00F829FD"/>
    <w:rsid w:val="00F8494D"/>
    <w:rsid w:val="00FA307E"/>
    <w:rsid w:val="00FA5861"/>
    <w:rsid w:val="00FB230B"/>
    <w:rsid w:val="00FB71A6"/>
    <w:rsid w:val="00FC22BB"/>
    <w:rsid w:val="00FD0DC6"/>
    <w:rsid w:val="00FD2171"/>
    <w:rsid w:val="00FD7FE7"/>
    <w:rsid w:val="00FE6985"/>
    <w:rsid w:val="00FF2E17"/>
    <w:rsid w:val="00FF437B"/>
    <w:rsid w:val="048D5F88"/>
    <w:rsid w:val="06B72B1D"/>
    <w:rsid w:val="0AB23D10"/>
    <w:rsid w:val="0BD82A36"/>
    <w:rsid w:val="0FC8249D"/>
    <w:rsid w:val="11CC2ACE"/>
    <w:rsid w:val="13AC5F03"/>
    <w:rsid w:val="18E47B7A"/>
    <w:rsid w:val="1AF72D93"/>
    <w:rsid w:val="1FD12E07"/>
    <w:rsid w:val="33FE3A27"/>
    <w:rsid w:val="34A6736D"/>
    <w:rsid w:val="3A276EEB"/>
    <w:rsid w:val="3C4D19A5"/>
    <w:rsid w:val="3C9967A2"/>
    <w:rsid w:val="3D361311"/>
    <w:rsid w:val="3F21675D"/>
    <w:rsid w:val="48471956"/>
    <w:rsid w:val="501F24D5"/>
    <w:rsid w:val="56C12796"/>
    <w:rsid w:val="59CC19E3"/>
    <w:rsid w:val="5C237373"/>
    <w:rsid w:val="60572F3B"/>
    <w:rsid w:val="623C6820"/>
    <w:rsid w:val="65A37AD5"/>
    <w:rsid w:val="65D87413"/>
    <w:rsid w:val="68532C20"/>
    <w:rsid w:val="6CC87B57"/>
    <w:rsid w:val="6E4D14A5"/>
    <w:rsid w:val="72F96CB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99"/>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1"/>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99"/>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Menção Pendente1"/>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qFormat/>
    <w:uiPriority w:val="6"/>
    <w:rPr>
      <w:color w:val="000080"/>
      <w:u w:val="single"/>
    </w:rPr>
  </w:style>
  <w:style w:type="character" w:customStyle="1" w:styleId="62">
    <w:name w:val="Fonte parág. padrão11"/>
    <w:qFormat/>
    <w:uiPriority w:val="6"/>
  </w:style>
  <w:style w:type="paragraph" w:customStyle="1" w:styleId="63">
    <w:name w:val="MENUDO 1"/>
    <w:basedOn w:val="1"/>
    <w:qFormat/>
    <w:uiPriority w:val="4"/>
    <w:pPr>
      <w:keepNext/>
      <w:keepLines/>
      <w:widowControl/>
      <w:tabs>
        <w:tab w:val="left" w:pos="567"/>
      </w:tabs>
      <w:suppressAutoHyphens/>
      <w:autoSpaceDE/>
      <w:autoSpaceDN/>
      <w:spacing w:before="120" w:after="120" w:line="312" w:lineRule="auto"/>
      <w:ind w:hanging="425"/>
      <w:jc w:val="both"/>
      <w:textAlignment w:val="baseline"/>
      <w:outlineLvl w:val="0"/>
    </w:pPr>
    <w:rPr>
      <w:rFonts w:ascii="Times New Roman" w:hAnsi="Times New Roman" w:eastAsia="SimSun" w:cs="Times New Roman"/>
      <w:b/>
      <w:bCs/>
      <w:color w:val="000000"/>
      <w:kern w:val="2"/>
      <w:sz w:val="24"/>
      <w:szCs w:val="24"/>
      <w:lang w:val="pt-BR" w:eastAsia="zh-CN"/>
    </w:rPr>
  </w:style>
  <w:style w:type="character" w:customStyle="1" w:styleId="64">
    <w:name w:val="fontstyle01"/>
    <w:basedOn w:val="5"/>
    <w:qFormat/>
    <w:uiPriority w:val="0"/>
    <w:rPr>
      <w:rFonts w:hint="default" w:ascii="Calibri" w:hAnsi="Calibri" w:cs="Calibri"/>
      <w:color w:val="000000"/>
      <w:sz w:val="20"/>
      <w:szCs w:val="20"/>
    </w:rPr>
  </w:style>
  <w:style w:type="character" w:customStyle="1" w:styleId="65">
    <w:name w:val="fontstyle21"/>
    <w:qFormat/>
    <w:uiPriority w:val="0"/>
    <w:rPr>
      <w:rFonts w:hint="default" w:ascii="Calibri" w:hAnsi="Calibri" w:cs="Calibri"/>
      <w:b/>
      <w:bCs/>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6652</Words>
  <Characters>35927</Characters>
  <Lines>299</Lines>
  <Paragraphs>84</Paragraphs>
  <TotalTime>13</TotalTime>
  <ScaleCrop>false</ScaleCrop>
  <LinksUpToDate>false</LinksUpToDate>
  <CharactersWithSpaces>42495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thalles.gomes</dc:creator>
  <cp:lastModifiedBy>thalles.gomes</cp:lastModifiedBy>
  <cp:lastPrinted>2025-07-07T18:54:00Z</cp:lastPrinted>
  <dcterms:modified xsi:type="dcterms:W3CDTF">2026-03-19T13:52:43Z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0F9D6047733C4D4995B77F9C8413F8F2_13</vt:lpwstr>
  </property>
</Properties>
</file>